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1FF" w:rsidRDefault="005321FF" w:rsidP="00BC407F">
      <w:pPr>
        <w:spacing w:after="156"/>
        <w:ind w:left="2093"/>
        <w:jc w:val="center"/>
      </w:pPr>
      <w:r>
        <w:rPr>
          <w:rFonts w:ascii="Arial" w:eastAsia="Arial" w:hAnsi="Arial" w:cs="Arial"/>
          <w:b/>
          <w:sz w:val="32"/>
        </w:rPr>
        <w:t>Publikationen 2019</w:t>
      </w:r>
    </w:p>
    <w:p w:rsidR="005321FF" w:rsidRDefault="005321FF" w:rsidP="00BC407F">
      <w:pPr>
        <w:spacing w:after="220"/>
        <w:ind w:left="2095"/>
        <w:jc w:val="center"/>
        <w:rPr>
          <w:rFonts w:ascii="Arial" w:eastAsia="Arial" w:hAnsi="Arial" w:cs="Arial"/>
          <w:b/>
          <w:sz w:val="24"/>
        </w:rPr>
      </w:pPr>
      <w:r>
        <w:rPr>
          <w:rFonts w:ascii="Arial" w:eastAsia="Arial" w:hAnsi="Arial" w:cs="Arial"/>
          <w:b/>
          <w:sz w:val="24"/>
        </w:rPr>
        <w:t>Abteilung für Sozial- und Präventivmedizin</w:t>
      </w:r>
    </w:p>
    <w:p w:rsidR="00C33CF5" w:rsidRDefault="00C33CF5" w:rsidP="00BC407F">
      <w:pPr>
        <w:spacing w:after="220"/>
        <w:ind w:left="2095"/>
        <w:jc w:val="center"/>
        <w:rPr>
          <w:rFonts w:ascii="Arial" w:eastAsia="Arial" w:hAnsi="Arial" w:cs="Arial"/>
          <w:b/>
          <w:sz w:val="24"/>
        </w:rPr>
      </w:pPr>
    </w:p>
    <w:p w:rsidR="00F926E5" w:rsidRDefault="00F926E5" w:rsidP="00F926E5">
      <w:pPr>
        <w:spacing w:after="0"/>
        <w:ind w:left="63"/>
        <w:jc w:val="center"/>
      </w:pPr>
      <w:r>
        <w:rPr>
          <w:rFonts w:ascii="Tw Cen MT" w:eastAsia="Tw Cen MT" w:hAnsi="Tw Cen MT" w:cs="Tw Cen MT"/>
          <w:b/>
          <w:color w:val="FF0000"/>
          <w:sz w:val="24"/>
        </w:rPr>
        <w:t xml:space="preserve"> </w:t>
      </w:r>
    </w:p>
    <w:tbl>
      <w:tblPr>
        <w:tblStyle w:val="TableGrid"/>
        <w:tblW w:w="9268" w:type="dxa"/>
        <w:tblInd w:w="-132" w:type="dxa"/>
        <w:tblCellMar>
          <w:top w:w="7" w:type="dxa"/>
          <w:left w:w="108" w:type="dxa"/>
          <w:right w:w="41" w:type="dxa"/>
        </w:tblCellMar>
        <w:tblLook w:val="04A0" w:firstRow="1" w:lastRow="0" w:firstColumn="1" w:lastColumn="0" w:noHBand="0" w:noVBand="1"/>
      </w:tblPr>
      <w:tblGrid>
        <w:gridCol w:w="1145"/>
        <w:gridCol w:w="8123"/>
      </w:tblGrid>
      <w:tr w:rsidR="00F926E5" w:rsidTr="009F3EC0">
        <w:trPr>
          <w:trHeight w:val="552"/>
        </w:trPr>
        <w:tc>
          <w:tcPr>
            <w:tcW w:w="1145" w:type="dxa"/>
            <w:tcBorders>
              <w:top w:val="nil"/>
              <w:left w:val="nil"/>
              <w:bottom w:val="single" w:sz="18" w:space="0" w:color="FFFFFF"/>
              <w:right w:val="single" w:sz="18" w:space="0" w:color="FFFFFF"/>
            </w:tcBorders>
            <w:shd w:val="clear" w:color="auto" w:fill="CCCCCC"/>
            <w:hideMark/>
          </w:tcPr>
          <w:p w:rsidR="00F926E5" w:rsidRDefault="00F926E5" w:rsidP="00F926E5">
            <w:pPr>
              <w:spacing w:line="240" w:lineRule="auto"/>
            </w:pPr>
            <w:r>
              <w:rPr>
                <w:rFonts w:ascii="Tw Cen MT" w:eastAsia="Tw Cen MT" w:hAnsi="Tw Cen MT" w:cs="Tw Cen MT"/>
                <w:sz w:val="24"/>
              </w:rPr>
              <w:t xml:space="preserve">2019.1 </w:t>
            </w:r>
          </w:p>
        </w:tc>
        <w:tc>
          <w:tcPr>
            <w:tcW w:w="8123" w:type="dxa"/>
            <w:tcBorders>
              <w:top w:val="nil"/>
              <w:left w:val="single" w:sz="18" w:space="0" w:color="FFFFFF"/>
              <w:bottom w:val="single" w:sz="18" w:space="0" w:color="FFFFFF"/>
              <w:right w:val="nil"/>
            </w:tcBorders>
            <w:shd w:val="clear" w:color="auto" w:fill="CCCCCC"/>
            <w:hideMark/>
          </w:tcPr>
          <w:p w:rsidR="00F926E5" w:rsidRDefault="00F926E5" w:rsidP="0011722A">
            <w:pPr>
              <w:spacing w:line="240" w:lineRule="auto"/>
            </w:pPr>
            <w:r>
              <w:rPr>
                <w:rFonts w:ascii="Arial" w:eastAsia="Arial" w:hAnsi="Arial" w:cs="Arial"/>
                <w:sz w:val="20"/>
              </w:rPr>
              <w:t xml:space="preserve">Winzer E, Dorner TE, Grabovac I, Haider S, Kapan A, Lackinger C, Schindler K: Behavior changes by a buddy-style intervention including physical training, and nutritional and social support. </w:t>
            </w:r>
            <w:r w:rsidR="0011722A">
              <w:rPr>
                <w:rFonts w:ascii="Arial" w:eastAsia="Arial" w:hAnsi="Arial" w:cs="Arial"/>
                <w:sz w:val="20"/>
              </w:rPr>
              <w:t>Geriatr. Gerontol Int 2019;19(4):323-329.</w:t>
            </w:r>
            <w:r>
              <w:rPr>
                <w:rFonts w:ascii="Arial" w:eastAsia="Arial" w:hAnsi="Arial" w:cs="Arial"/>
                <w:sz w:val="20"/>
              </w:rPr>
              <w:t xml:space="preserve"> DOI: 10.1111/ggi.13616</w:t>
            </w:r>
          </w:p>
        </w:tc>
      </w:tr>
      <w:tr w:rsidR="00F926E5"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hideMark/>
          </w:tcPr>
          <w:p w:rsidR="00F926E5" w:rsidRDefault="00F926E5" w:rsidP="00F926E5">
            <w:pPr>
              <w:spacing w:line="240" w:lineRule="auto"/>
            </w:pPr>
            <w:r>
              <w:rPr>
                <w:rFonts w:ascii="Tw Cen MT" w:eastAsia="Tw Cen MT" w:hAnsi="Tw Cen MT" w:cs="Tw Cen MT"/>
                <w:sz w:val="24"/>
              </w:rPr>
              <w:t>2019.2</w:t>
            </w:r>
          </w:p>
        </w:tc>
        <w:tc>
          <w:tcPr>
            <w:tcW w:w="8123" w:type="dxa"/>
            <w:tcBorders>
              <w:top w:val="single" w:sz="18" w:space="0" w:color="FFFFFF"/>
              <w:left w:val="single" w:sz="18" w:space="0" w:color="FFFFFF"/>
              <w:bottom w:val="single" w:sz="18" w:space="0" w:color="FFFFFF"/>
              <w:right w:val="nil"/>
            </w:tcBorders>
            <w:shd w:val="clear" w:color="auto" w:fill="CCCCCC"/>
          </w:tcPr>
          <w:p w:rsidR="00F926E5" w:rsidRDefault="00F926E5" w:rsidP="004E2DB8">
            <w:pPr>
              <w:spacing w:line="240" w:lineRule="auto"/>
            </w:pPr>
            <w:r>
              <w:t>Wang M, Vaez M, Dorner TE, Rahman S, Helgesson M, Ivert T, Mittendorfer-Rutz E: Risk factors for subsequent work disability in patients with acute myocardial infarction. European Journal of Public Health, 2019</w:t>
            </w:r>
            <w:r w:rsidR="004E2DB8">
              <w:t xml:space="preserve">:29(3):531-40. </w:t>
            </w:r>
            <w:r>
              <w:t xml:space="preserve"> DOI: 10.1093eurpub/cky279</w:t>
            </w:r>
          </w:p>
        </w:tc>
      </w:tr>
      <w:tr w:rsidR="00F926E5"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F926E5" w:rsidRDefault="00F926E5" w:rsidP="00F926E5">
            <w:pPr>
              <w:spacing w:line="240" w:lineRule="auto"/>
              <w:rPr>
                <w:rFonts w:ascii="Tw Cen MT" w:eastAsia="Tw Cen MT" w:hAnsi="Tw Cen MT" w:cs="Tw Cen MT"/>
                <w:sz w:val="24"/>
              </w:rPr>
            </w:pPr>
            <w:r>
              <w:rPr>
                <w:rFonts w:ascii="Tw Cen MT" w:eastAsia="Tw Cen MT" w:hAnsi="Tw Cen MT" w:cs="Tw Cen MT"/>
                <w:sz w:val="24"/>
              </w:rPr>
              <w:t>2019.3</w:t>
            </w:r>
          </w:p>
        </w:tc>
        <w:tc>
          <w:tcPr>
            <w:tcW w:w="8123" w:type="dxa"/>
            <w:tcBorders>
              <w:top w:val="single" w:sz="18" w:space="0" w:color="FFFFFF"/>
              <w:left w:val="single" w:sz="18" w:space="0" w:color="FFFFFF"/>
              <w:bottom w:val="single" w:sz="18" w:space="0" w:color="FFFFFF"/>
              <w:right w:val="nil"/>
            </w:tcBorders>
            <w:shd w:val="clear" w:color="auto" w:fill="CCCCCC"/>
          </w:tcPr>
          <w:p w:rsidR="00F926E5" w:rsidRDefault="00BC407F" w:rsidP="00BC407F">
            <w:pPr>
              <w:spacing w:line="240" w:lineRule="auto"/>
            </w:pPr>
            <w:r>
              <w:t xml:space="preserve">Sommer M, Arendasy ME, Punter JF, Feldhammer-Kahr M, Rieder A: Do individual differences in test-takers´ appraisal of admission testing compromise measurement fairness? Intelligence 2019;73:16-29 </w:t>
            </w:r>
          </w:p>
        </w:tc>
      </w:tr>
      <w:tr w:rsidR="009F3EC0"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9F3EC0" w:rsidRDefault="009F3EC0" w:rsidP="00F926E5">
            <w:pPr>
              <w:spacing w:line="240" w:lineRule="auto"/>
              <w:rPr>
                <w:rFonts w:ascii="Tw Cen MT" w:eastAsia="Tw Cen MT" w:hAnsi="Tw Cen MT" w:cs="Tw Cen MT"/>
                <w:sz w:val="24"/>
              </w:rPr>
            </w:pPr>
            <w:r>
              <w:rPr>
                <w:rFonts w:ascii="Tw Cen MT" w:eastAsia="Tw Cen MT" w:hAnsi="Tw Cen MT" w:cs="Tw Cen MT"/>
                <w:sz w:val="24"/>
              </w:rPr>
              <w:t>2019.4</w:t>
            </w:r>
          </w:p>
        </w:tc>
        <w:tc>
          <w:tcPr>
            <w:tcW w:w="8123" w:type="dxa"/>
            <w:tcBorders>
              <w:top w:val="single" w:sz="18" w:space="0" w:color="FFFFFF"/>
              <w:left w:val="single" w:sz="18" w:space="0" w:color="FFFFFF"/>
              <w:bottom w:val="single" w:sz="18" w:space="0" w:color="FFFFFF"/>
              <w:right w:val="nil"/>
            </w:tcBorders>
            <w:shd w:val="clear" w:color="auto" w:fill="CCCCCC"/>
          </w:tcPr>
          <w:p w:rsidR="009F3EC0" w:rsidRDefault="009F3EC0" w:rsidP="004E2DB8">
            <w:pPr>
              <w:spacing w:line="240" w:lineRule="auto"/>
            </w:pPr>
            <w:r>
              <w:t>Mayer S, Spickschen J, Stein KV, Crevenna R, Dorner TE, Simon J: The societal costs of chronic pain and its determinants: The case of Austria. PLOS ONE</w:t>
            </w:r>
            <w:r w:rsidR="004E2DB8">
              <w:t>, 2019;14(3):e0213889.</w:t>
            </w:r>
            <w:r>
              <w:t xml:space="preserve"> </w:t>
            </w:r>
            <w:hyperlink r:id="rId5" w:history="1">
              <w:r w:rsidRPr="00EE20E5">
                <w:rPr>
                  <w:rStyle w:val="Hyperlink"/>
                </w:rPr>
                <w:t>https://doi.org/10.1371/journal.pone.0213889</w:t>
              </w:r>
            </w:hyperlink>
            <w:r>
              <w:t xml:space="preserve"> </w:t>
            </w:r>
          </w:p>
        </w:tc>
      </w:tr>
      <w:tr w:rsidR="00AA58E7"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AA58E7" w:rsidRDefault="00AA58E7" w:rsidP="00F926E5">
            <w:pPr>
              <w:spacing w:line="240" w:lineRule="auto"/>
              <w:rPr>
                <w:rFonts w:ascii="Tw Cen MT" w:eastAsia="Tw Cen MT" w:hAnsi="Tw Cen MT" w:cs="Tw Cen MT"/>
                <w:sz w:val="24"/>
              </w:rPr>
            </w:pPr>
            <w:r>
              <w:rPr>
                <w:rFonts w:ascii="Tw Cen MT" w:eastAsia="Tw Cen MT" w:hAnsi="Tw Cen MT" w:cs="Tw Cen MT"/>
                <w:sz w:val="24"/>
              </w:rPr>
              <w:t>2019.5</w:t>
            </w:r>
          </w:p>
        </w:tc>
        <w:tc>
          <w:tcPr>
            <w:tcW w:w="8123" w:type="dxa"/>
            <w:tcBorders>
              <w:top w:val="single" w:sz="18" w:space="0" w:color="FFFFFF"/>
              <w:left w:val="single" w:sz="18" w:space="0" w:color="FFFFFF"/>
              <w:bottom w:val="single" w:sz="18" w:space="0" w:color="FFFFFF"/>
              <w:right w:val="nil"/>
            </w:tcBorders>
            <w:shd w:val="clear" w:color="auto" w:fill="CCCCCC"/>
          </w:tcPr>
          <w:p w:rsidR="00AA58E7" w:rsidRDefault="00AA58E7" w:rsidP="006B5A1F">
            <w:pPr>
              <w:spacing w:line="240" w:lineRule="auto"/>
            </w:pPr>
            <w:r>
              <w:t>Kunze M, Haditsch M: TBE as a matter of public health. Chapter 13. In: Dobler G, Erber W, Bröker M, Schmitt HJ: The TBE Book. Global Health Press, Singapore, 2019, 2nd edition. DOI: 10.33442/978-</w:t>
            </w:r>
            <w:r w:rsidR="006B5A1F">
              <w:t>9</w:t>
            </w:r>
            <w:r>
              <w:t>81-14-0914-1</w:t>
            </w:r>
            <w:r w:rsidR="006B5A1F">
              <w:t>_</w:t>
            </w:r>
            <w:r>
              <w:t xml:space="preserve">13 </w:t>
            </w:r>
          </w:p>
        </w:tc>
      </w:tr>
      <w:tr w:rsidR="00A50CC9"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A50CC9" w:rsidRDefault="00A50CC9" w:rsidP="00F926E5">
            <w:pPr>
              <w:spacing w:line="240" w:lineRule="auto"/>
              <w:rPr>
                <w:rFonts w:ascii="Tw Cen MT" w:eastAsia="Tw Cen MT" w:hAnsi="Tw Cen MT" w:cs="Tw Cen MT"/>
                <w:sz w:val="24"/>
              </w:rPr>
            </w:pPr>
            <w:r>
              <w:rPr>
                <w:rFonts w:ascii="Tw Cen MT" w:eastAsia="Tw Cen MT" w:hAnsi="Tw Cen MT" w:cs="Tw Cen MT"/>
                <w:sz w:val="24"/>
              </w:rPr>
              <w:t>2019.6</w:t>
            </w:r>
          </w:p>
        </w:tc>
        <w:tc>
          <w:tcPr>
            <w:tcW w:w="8123" w:type="dxa"/>
            <w:tcBorders>
              <w:top w:val="single" w:sz="18" w:space="0" w:color="FFFFFF"/>
              <w:left w:val="single" w:sz="18" w:space="0" w:color="FFFFFF"/>
              <w:bottom w:val="single" w:sz="18" w:space="0" w:color="FFFFFF"/>
              <w:right w:val="nil"/>
            </w:tcBorders>
            <w:shd w:val="clear" w:color="auto" w:fill="CCCCCC"/>
          </w:tcPr>
          <w:p w:rsidR="00A50CC9" w:rsidRDefault="00A50CC9" w:rsidP="004E2DB8">
            <w:pPr>
              <w:spacing w:line="240" w:lineRule="auto"/>
            </w:pPr>
            <w:r>
              <w:t>Berner C, Erlacher L, Fenzl KH, Dorner TE: Medication Adherence and Coping Strategies in Patients with Rheumatoid Arthritis: A Cross-Sectional Study. International Journal of Rheumatology</w:t>
            </w:r>
            <w:r w:rsidR="004E2DB8">
              <w:t>, 2019;4:4709645.</w:t>
            </w:r>
            <w:r>
              <w:t xml:space="preserve"> https://do.i.org/10.1155/2019/4709645</w:t>
            </w:r>
          </w:p>
        </w:tc>
      </w:tr>
      <w:tr w:rsidR="007E2D96"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7E2D96" w:rsidRDefault="007E2D96" w:rsidP="00F926E5">
            <w:pPr>
              <w:spacing w:line="240" w:lineRule="auto"/>
              <w:rPr>
                <w:rFonts w:ascii="Tw Cen MT" w:eastAsia="Tw Cen MT" w:hAnsi="Tw Cen MT" w:cs="Tw Cen MT"/>
                <w:sz w:val="24"/>
              </w:rPr>
            </w:pPr>
            <w:r>
              <w:rPr>
                <w:rFonts w:ascii="Tw Cen MT" w:eastAsia="Tw Cen MT" w:hAnsi="Tw Cen MT" w:cs="Tw Cen MT"/>
                <w:sz w:val="24"/>
              </w:rPr>
              <w:t>2019.7</w:t>
            </w:r>
          </w:p>
        </w:tc>
        <w:tc>
          <w:tcPr>
            <w:tcW w:w="8123" w:type="dxa"/>
            <w:tcBorders>
              <w:top w:val="single" w:sz="18" w:space="0" w:color="FFFFFF"/>
              <w:left w:val="single" w:sz="18" w:space="0" w:color="FFFFFF"/>
              <w:bottom w:val="single" w:sz="18" w:space="0" w:color="FFFFFF"/>
              <w:right w:val="nil"/>
            </w:tcBorders>
            <w:shd w:val="clear" w:color="auto" w:fill="CCCCCC"/>
          </w:tcPr>
          <w:p w:rsidR="007E2D96" w:rsidRDefault="007E2D96" w:rsidP="004E2DB8">
            <w:pPr>
              <w:spacing w:line="240" w:lineRule="auto"/>
            </w:pPr>
            <w:r>
              <w:t>Hoffmann K, George A, Jirovsky E, Dorner TE: Re-examining access points to the different levels of health care: a cross-sectional series in Austria. European Journal of Public Health</w:t>
            </w:r>
            <w:r w:rsidR="00792382">
              <w:t>, 2019,29(6):</w:t>
            </w:r>
            <w:r>
              <w:t>1</w:t>
            </w:r>
            <w:r w:rsidR="004E2DB8">
              <w:t>005-1010</w:t>
            </w:r>
          </w:p>
        </w:tc>
      </w:tr>
      <w:tr w:rsidR="007E2D96"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7E2D96" w:rsidRDefault="007E2D96" w:rsidP="00F926E5">
            <w:pPr>
              <w:spacing w:line="240" w:lineRule="auto"/>
              <w:rPr>
                <w:rFonts w:ascii="Tw Cen MT" w:eastAsia="Tw Cen MT" w:hAnsi="Tw Cen MT" w:cs="Tw Cen MT"/>
                <w:sz w:val="24"/>
              </w:rPr>
            </w:pPr>
            <w:r>
              <w:rPr>
                <w:rFonts w:ascii="Tw Cen MT" w:eastAsia="Tw Cen MT" w:hAnsi="Tw Cen MT" w:cs="Tw Cen MT"/>
                <w:sz w:val="24"/>
              </w:rPr>
              <w:t>2019.8</w:t>
            </w:r>
          </w:p>
        </w:tc>
        <w:tc>
          <w:tcPr>
            <w:tcW w:w="8123" w:type="dxa"/>
            <w:tcBorders>
              <w:top w:val="single" w:sz="18" w:space="0" w:color="FFFFFF"/>
              <w:left w:val="single" w:sz="18" w:space="0" w:color="FFFFFF"/>
              <w:bottom w:val="single" w:sz="18" w:space="0" w:color="FFFFFF"/>
              <w:right w:val="nil"/>
            </w:tcBorders>
            <w:shd w:val="clear" w:color="auto" w:fill="CCCCCC"/>
          </w:tcPr>
          <w:p w:rsidR="007E2D96" w:rsidRDefault="007E2D96" w:rsidP="00792382">
            <w:pPr>
              <w:spacing w:line="240" w:lineRule="auto"/>
            </w:pPr>
            <w:r>
              <w:t>Haider S, Grabovac I, Dorner TE: Effects of physical activity interventions in frail and prefrail community-dwelling people on frailty status, muscle strength, physical performance and muscle mass- a narrative review. WienKlinWochenschr</w:t>
            </w:r>
            <w:r w:rsidR="00792382">
              <w:t>.</w:t>
            </w:r>
            <w:r>
              <w:t xml:space="preserve"> </w:t>
            </w:r>
            <w:r w:rsidR="00792382">
              <w:t xml:space="preserve">2019;131(11-12):244-54. </w:t>
            </w:r>
            <w:r>
              <w:t>https://doi.org/10.1007/s00508-019-1</w:t>
            </w:r>
            <w:r w:rsidR="007E7C52">
              <w:t>4</w:t>
            </w:r>
            <w:r>
              <w:t>84-7</w:t>
            </w:r>
          </w:p>
        </w:tc>
      </w:tr>
      <w:tr w:rsidR="0035791A"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35791A" w:rsidRDefault="0035791A" w:rsidP="00F926E5">
            <w:pPr>
              <w:spacing w:line="240" w:lineRule="auto"/>
              <w:rPr>
                <w:rFonts w:ascii="Tw Cen MT" w:eastAsia="Tw Cen MT" w:hAnsi="Tw Cen MT" w:cs="Tw Cen MT"/>
                <w:sz w:val="24"/>
              </w:rPr>
            </w:pPr>
            <w:r>
              <w:rPr>
                <w:rFonts w:ascii="Tw Cen MT" w:eastAsia="Tw Cen MT" w:hAnsi="Tw Cen MT" w:cs="Tw Cen MT"/>
                <w:sz w:val="24"/>
              </w:rPr>
              <w:t>2019.9</w:t>
            </w:r>
          </w:p>
        </w:tc>
        <w:tc>
          <w:tcPr>
            <w:tcW w:w="8123" w:type="dxa"/>
            <w:tcBorders>
              <w:top w:val="single" w:sz="18" w:space="0" w:color="FFFFFF"/>
              <w:left w:val="single" w:sz="18" w:space="0" w:color="FFFFFF"/>
              <w:bottom w:val="single" w:sz="18" w:space="0" w:color="FFFFFF"/>
              <w:right w:val="nil"/>
            </w:tcBorders>
            <w:shd w:val="clear" w:color="auto" w:fill="CCCCCC"/>
          </w:tcPr>
          <w:p w:rsidR="0035791A" w:rsidRDefault="0035791A" w:rsidP="00792382">
            <w:pPr>
              <w:spacing w:line="240" w:lineRule="auto"/>
            </w:pPr>
            <w:r>
              <w:t xml:space="preserve">Dorner TE: Implementation of patient-centered physical training for older people accessing routine health care. WienKlinWochenschr., </w:t>
            </w:r>
            <w:r w:rsidR="00792382">
              <w:t xml:space="preserve">2019;131(11-12):214-43. </w:t>
            </w:r>
            <w:r w:rsidR="004A6556">
              <w:t xml:space="preserve"> </w:t>
            </w:r>
            <w:r>
              <w:t>https://doi.org/10.1007/s00508-019-1513-6</w:t>
            </w:r>
          </w:p>
        </w:tc>
      </w:tr>
      <w:tr w:rsidR="004A6556"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4A6556" w:rsidRDefault="004A6556" w:rsidP="00F926E5">
            <w:pPr>
              <w:spacing w:line="240" w:lineRule="auto"/>
              <w:rPr>
                <w:rFonts w:ascii="Tw Cen MT" w:eastAsia="Tw Cen MT" w:hAnsi="Tw Cen MT" w:cs="Tw Cen MT"/>
                <w:sz w:val="24"/>
              </w:rPr>
            </w:pPr>
            <w:r>
              <w:rPr>
                <w:rFonts w:ascii="Tw Cen MT" w:eastAsia="Tw Cen MT" w:hAnsi="Tw Cen MT" w:cs="Tw Cen MT"/>
                <w:sz w:val="24"/>
              </w:rPr>
              <w:t>2019.10</w:t>
            </w:r>
          </w:p>
        </w:tc>
        <w:tc>
          <w:tcPr>
            <w:tcW w:w="8123" w:type="dxa"/>
            <w:tcBorders>
              <w:top w:val="single" w:sz="18" w:space="0" w:color="FFFFFF"/>
              <w:left w:val="single" w:sz="18" w:space="0" w:color="FFFFFF"/>
              <w:bottom w:val="single" w:sz="18" w:space="0" w:color="FFFFFF"/>
              <w:right w:val="nil"/>
            </w:tcBorders>
            <w:shd w:val="clear" w:color="auto" w:fill="CCCCCC"/>
          </w:tcPr>
          <w:p w:rsidR="004A6556" w:rsidRDefault="004A6556" w:rsidP="00792382">
            <w:pPr>
              <w:spacing w:line="240" w:lineRule="auto"/>
            </w:pPr>
            <w:r>
              <w:t xml:space="preserve">Bytyci A, Ymerhalili G, Dorner TE, Stein KV, Maxhera O: Pilot study of an integrated care model using the geriatric assesment tool. . WienKlinWochenschr., </w:t>
            </w:r>
            <w:r w:rsidR="00792382">
              <w:t xml:space="preserve">2019;131(11-12):273-77. </w:t>
            </w:r>
            <w:r>
              <w:t>https://doi.org/10.1007/s00508-019-1512-7</w:t>
            </w:r>
          </w:p>
        </w:tc>
      </w:tr>
      <w:tr w:rsidR="004D1B29"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4D1B29" w:rsidRDefault="004D1B29" w:rsidP="00F926E5">
            <w:pPr>
              <w:spacing w:line="240" w:lineRule="auto"/>
              <w:rPr>
                <w:rFonts w:ascii="Tw Cen MT" w:eastAsia="Tw Cen MT" w:hAnsi="Tw Cen MT" w:cs="Tw Cen MT"/>
                <w:sz w:val="24"/>
              </w:rPr>
            </w:pPr>
            <w:r>
              <w:rPr>
                <w:rFonts w:ascii="Tw Cen MT" w:eastAsia="Tw Cen MT" w:hAnsi="Tw Cen MT" w:cs="Tw Cen MT"/>
                <w:sz w:val="24"/>
              </w:rPr>
              <w:t>2019.11</w:t>
            </w:r>
          </w:p>
        </w:tc>
        <w:tc>
          <w:tcPr>
            <w:tcW w:w="8123" w:type="dxa"/>
            <w:tcBorders>
              <w:top w:val="single" w:sz="18" w:space="0" w:color="FFFFFF"/>
              <w:left w:val="single" w:sz="18" w:space="0" w:color="FFFFFF"/>
              <w:bottom w:val="single" w:sz="18" w:space="0" w:color="FFFFFF"/>
              <w:right w:val="nil"/>
            </w:tcBorders>
            <w:shd w:val="clear" w:color="auto" w:fill="CCCCCC"/>
          </w:tcPr>
          <w:p w:rsidR="004D1B29" w:rsidRDefault="004D1B29" w:rsidP="0035791A">
            <w:pPr>
              <w:spacing w:line="240" w:lineRule="auto"/>
            </w:pPr>
            <w:r>
              <w:t xml:space="preserve">Crevenna R, Dorner TE: Association between fulfilling the recommendations for health-enhancing physical activity with (instrumental) activities of daily living in older Austrians. </w:t>
            </w:r>
          </w:p>
          <w:p w:rsidR="004D1B29" w:rsidRDefault="004D1B29" w:rsidP="00792382">
            <w:pPr>
              <w:spacing w:line="240" w:lineRule="auto"/>
            </w:pPr>
            <w:r>
              <w:t xml:space="preserve">WienKlinWochenschr., </w:t>
            </w:r>
            <w:r w:rsidR="00792382">
              <w:t>2019;131(11-12):265-72.</w:t>
            </w:r>
            <w:r>
              <w:t xml:space="preserve"> https://doi.org/10.1007/s00508-019-1511-8</w:t>
            </w:r>
          </w:p>
        </w:tc>
      </w:tr>
      <w:tr w:rsidR="00DA0B0C"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DA0B0C" w:rsidRDefault="00DA0B0C" w:rsidP="00F926E5">
            <w:pPr>
              <w:spacing w:line="240" w:lineRule="auto"/>
              <w:rPr>
                <w:rFonts w:ascii="Tw Cen MT" w:eastAsia="Tw Cen MT" w:hAnsi="Tw Cen MT" w:cs="Tw Cen MT"/>
                <w:sz w:val="24"/>
              </w:rPr>
            </w:pPr>
            <w:r>
              <w:rPr>
                <w:rFonts w:ascii="Tw Cen MT" w:eastAsia="Tw Cen MT" w:hAnsi="Tw Cen MT" w:cs="Tw Cen MT"/>
                <w:sz w:val="24"/>
              </w:rPr>
              <w:t>2019.12</w:t>
            </w:r>
          </w:p>
        </w:tc>
        <w:tc>
          <w:tcPr>
            <w:tcW w:w="8123" w:type="dxa"/>
            <w:tcBorders>
              <w:top w:val="single" w:sz="18" w:space="0" w:color="FFFFFF"/>
              <w:left w:val="single" w:sz="18" w:space="0" w:color="FFFFFF"/>
              <w:bottom w:val="single" w:sz="18" w:space="0" w:color="FFFFFF"/>
              <w:right w:val="nil"/>
            </w:tcBorders>
            <w:shd w:val="clear" w:color="auto" w:fill="CCCCCC"/>
          </w:tcPr>
          <w:p w:rsidR="00AE3185" w:rsidRDefault="00DA0B0C" w:rsidP="00792382">
            <w:pPr>
              <w:spacing w:line="240" w:lineRule="auto"/>
            </w:pPr>
            <w:r>
              <w:t>Dorner TE. Wilfinger J, Hoffman K, Lackinger C: Association betwe</w:t>
            </w:r>
            <w:r w:rsidR="00C87DF1">
              <w:t xml:space="preserve">en physical activity and the utilization of general practitioners in different age groups. WienKlinWochenschr., </w:t>
            </w:r>
            <w:r w:rsidR="00792382">
              <w:t xml:space="preserve">2019;131(11-12):278-87. </w:t>
            </w:r>
            <w:r w:rsidR="00C87DF1">
              <w:t xml:space="preserve"> </w:t>
            </w:r>
            <w:hyperlink r:id="rId6" w:history="1">
              <w:r w:rsidR="00C87DF1" w:rsidRPr="003265C9">
                <w:rPr>
                  <w:rStyle w:val="Hyperlink"/>
                </w:rPr>
                <w:t>https://doi.org/10.1007/s00508-019-1503-8</w:t>
              </w:r>
            </w:hyperlink>
            <w:r w:rsidR="00C87DF1">
              <w:t xml:space="preserve"> </w:t>
            </w:r>
          </w:p>
        </w:tc>
      </w:tr>
      <w:tr w:rsidR="00C87DF1"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C87DF1" w:rsidRDefault="00C87DF1" w:rsidP="00F926E5">
            <w:pPr>
              <w:spacing w:line="240" w:lineRule="auto"/>
              <w:rPr>
                <w:rFonts w:ascii="Tw Cen MT" w:eastAsia="Tw Cen MT" w:hAnsi="Tw Cen MT" w:cs="Tw Cen MT"/>
                <w:sz w:val="24"/>
              </w:rPr>
            </w:pPr>
            <w:r>
              <w:rPr>
                <w:rFonts w:ascii="Tw Cen MT" w:eastAsia="Tw Cen MT" w:hAnsi="Tw Cen MT" w:cs="Tw Cen MT"/>
                <w:sz w:val="24"/>
              </w:rPr>
              <w:t>2019.13</w:t>
            </w:r>
          </w:p>
        </w:tc>
        <w:tc>
          <w:tcPr>
            <w:tcW w:w="8123" w:type="dxa"/>
            <w:tcBorders>
              <w:top w:val="single" w:sz="18" w:space="0" w:color="FFFFFF"/>
              <w:left w:val="single" w:sz="18" w:space="0" w:color="FFFFFF"/>
              <w:bottom w:val="single" w:sz="18" w:space="0" w:color="FFFFFF"/>
              <w:right w:val="nil"/>
            </w:tcBorders>
            <w:shd w:val="clear" w:color="auto" w:fill="CCCCCC"/>
          </w:tcPr>
          <w:p w:rsidR="00C87DF1" w:rsidRDefault="00C87DF1" w:rsidP="00051B63">
            <w:pPr>
              <w:spacing w:line="240" w:lineRule="auto"/>
            </w:pPr>
            <w:r>
              <w:t>Dorner TE: Edi</w:t>
            </w:r>
            <w:r w:rsidR="00051B63">
              <w:t xml:space="preserve">torial ÖGPH. Sustainable Health.  In: Dorner TE, Zillmann N (Hrsg.) Sustainable Health.  </w:t>
            </w:r>
            <w:r>
              <w:t>Abstract Band, 22. Wissenschaftliche Tagung der österreichischen Gesellschaft für Public Health (ÖGPH), 22. und 23. Mai 2019</w:t>
            </w:r>
            <w:r w:rsidR="00051B63">
              <w:t xml:space="preserve">; Vienna, Austria, Seite </w:t>
            </w:r>
            <w:r>
              <w:t>:10-1</w:t>
            </w:r>
            <w:r w:rsidR="00051B63">
              <w:t>1</w:t>
            </w:r>
          </w:p>
        </w:tc>
      </w:tr>
      <w:tr w:rsidR="00C87DF1"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C87DF1" w:rsidRDefault="00C87DF1" w:rsidP="00F926E5">
            <w:pPr>
              <w:spacing w:line="240" w:lineRule="auto"/>
              <w:rPr>
                <w:rFonts w:ascii="Tw Cen MT" w:eastAsia="Tw Cen MT" w:hAnsi="Tw Cen MT" w:cs="Tw Cen MT"/>
                <w:sz w:val="24"/>
              </w:rPr>
            </w:pPr>
            <w:r>
              <w:rPr>
                <w:rFonts w:ascii="Tw Cen MT" w:eastAsia="Tw Cen MT" w:hAnsi="Tw Cen MT" w:cs="Tw Cen MT"/>
                <w:sz w:val="24"/>
              </w:rPr>
              <w:lastRenderedPageBreak/>
              <w:t>2019.14</w:t>
            </w:r>
          </w:p>
        </w:tc>
        <w:tc>
          <w:tcPr>
            <w:tcW w:w="8123" w:type="dxa"/>
            <w:tcBorders>
              <w:top w:val="single" w:sz="18" w:space="0" w:color="FFFFFF"/>
              <w:left w:val="single" w:sz="18" w:space="0" w:color="FFFFFF"/>
              <w:bottom w:val="single" w:sz="18" w:space="0" w:color="FFFFFF"/>
              <w:right w:val="nil"/>
            </w:tcBorders>
            <w:shd w:val="clear" w:color="auto" w:fill="CCCCCC"/>
          </w:tcPr>
          <w:p w:rsidR="00C87DF1" w:rsidRDefault="00C87DF1" w:rsidP="00A93852">
            <w:pPr>
              <w:spacing w:line="240" w:lineRule="auto"/>
            </w:pPr>
            <w:r>
              <w:t xml:space="preserve">Seiler R, Grabovac I, Dorner TE: The importance of emotional literacy in sex education. </w:t>
            </w:r>
            <w:r w:rsidR="00A93852">
              <w:t xml:space="preserve">In: Dorner TE, Zillmann N (Hrsg.). Sustainable Health. Abstractband zur 22. Wissenschaftlichen Tagung der </w:t>
            </w:r>
            <w:r w:rsidR="00843A44">
              <w:t>der österreichischen Gesellschaft für Public Health (ÖGPH), 22. und 23. Mai 2019:28</w:t>
            </w:r>
            <w:r w:rsidR="00A93852">
              <w:t>. ISBN: 978-3-200-06344-0</w:t>
            </w:r>
          </w:p>
        </w:tc>
      </w:tr>
      <w:tr w:rsidR="006C2FE6"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6C2FE6" w:rsidRDefault="006C2FE6" w:rsidP="00F926E5">
            <w:pPr>
              <w:spacing w:line="240" w:lineRule="auto"/>
              <w:rPr>
                <w:rFonts w:ascii="Tw Cen MT" w:eastAsia="Tw Cen MT" w:hAnsi="Tw Cen MT" w:cs="Tw Cen MT"/>
                <w:sz w:val="24"/>
              </w:rPr>
            </w:pPr>
            <w:r>
              <w:rPr>
                <w:rFonts w:ascii="Tw Cen MT" w:eastAsia="Tw Cen MT" w:hAnsi="Tw Cen MT" w:cs="Tw Cen MT"/>
                <w:sz w:val="24"/>
              </w:rPr>
              <w:t>2019.15</w:t>
            </w:r>
          </w:p>
        </w:tc>
        <w:tc>
          <w:tcPr>
            <w:tcW w:w="8123" w:type="dxa"/>
            <w:tcBorders>
              <w:top w:val="single" w:sz="18" w:space="0" w:color="FFFFFF"/>
              <w:left w:val="single" w:sz="18" w:space="0" w:color="FFFFFF"/>
              <w:bottom w:val="single" w:sz="18" w:space="0" w:color="FFFFFF"/>
              <w:right w:val="nil"/>
            </w:tcBorders>
            <w:shd w:val="clear" w:color="auto" w:fill="CCCCCC"/>
          </w:tcPr>
          <w:p w:rsidR="006C2FE6" w:rsidRDefault="006C2FE6" w:rsidP="00A93852">
            <w:pPr>
              <w:spacing w:line="240" w:lineRule="auto"/>
            </w:pPr>
            <w:r>
              <w:t xml:space="preserve">Grabovac I, Dorner TE: Gesundheitskompetenz bei DrogenkonsumentInnen die mit HIV in Österreich leben. </w:t>
            </w:r>
            <w:r w:rsidR="00A93852">
              <w:t>In: Dorner TE, Zillmann N (Hrsg.). Sustainable Health. Abstractband zur 22. Wissenschaftlichen Tagung der der österreichischen Gesellschaft für Public Health (ÖGPH), 22. und 23. Mai 2019:32. ISBN: 978-3-200-06344-0</w:t>
            </w:r>
          </w:p>
        </w:tc>
      </w:tr>
      <w:tr w:rsidR="006C2FE6"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6C2FE6" w:rsidRDefault="006C2FE6" w:rsidP="00F926E5">
            <w:pPr>
              <w:spacing w:line="240" w:lineRule="auto"/>
              <w:rPr>
                <w:rFonts w:ascii="Tw Cen MT" w:eastAsia="Tw Cen MT" w:hAnsi="Tw Cen MT" w:cs="Tw Cen MT"/>
                <w:sz w:val="24"/>
              </w:rPr>
            </w:pPr>
            <w:r>
              <w:rPr>
                <w:rFonts w:ascii="Tw Cen MT" w:eastAsia="Tw Cen MT" w:hAnsi="Tw Cen MT" w:cs="Tw Cen MT"/>
                <w:sz w:val="24"/>
              </w:rPr>
              <w:t>2019.16</w:t>
            </w:r>
          </w:p>
        </w:tc>
        <w:tc>
          <w:tcPr>
            <w:tcW w:w="8123" w:type="dxa"/>
            <w:tcBorders>
              <w:top w:val="single" w:sz="18" w:space="0" w:color="FFFFFF"/>
              <w:left w:val="single" w:sz="18" w:space="0" w:color="FFFFFF"/>
              <w:bottom w:val="single" w:sz="18" w:space="0" w:color="FFFFFF"/>
              <w:right w:val="nil"/>
            </w:tcBorders>
            <w:shd w:val="clear" w:color="auto" w:fill="CCCCCC"/>
          </w:tcPr>
          <w:p w:rsidR="006C2FE6" w:rsidRDefault="006C2FE6" w:rsidP="00677F04">
            <w:pPr>
              <w:spacing w:line="240" w:lineRule="auto"/>
            </w:pPr>
            <w:r>
              <w:t>Berger K. Dorner TE, Lackinger C, Haider S: Baseline Fitness und Adherence der TeilnehmerInnen von dem Bewegungsprogramm „Federleicht“.</w:t>
            </w:r>
            <w:r w:rsidR="00677F04">
              <w:t xml:space="preserve"> In: Dorner TE, Zillmann N (Hrsg.). Sustainable Health. Abstractband zur 22. Wissenschaftlichen Tagung der der österreichischen Gesellschaft für Public Health (ÖGPH), 22. und 23. Mai 2019:85. ISBN: 978-3-200-06344-0</w:t>
            </w:r>
            <w:r>
              <w:t xml:space="preserve"> </w:t>
            </w:r>
          </w:p>
        </w:tc>
      </w:tr>
      <w:tr w:rsidR="009F51B4"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9F51B4" w:rsidRDefault="009F51B4" w:rsidP="00F926E5">
            <w:pPr>
              <w:spacing w:line="240" w:lineRule="auto"/>
              <w:rPr>
                <w:rFonts w:ascii="Tw Cen MT" w:eastAsia="Tw Cen MT" w:hAnsi="Tw Cen MT" w:cs="Tw Cen MT"/>
                <w:sz w:val="24"/>
              </w:rPr>
            </w:pPr>
            <w:r>
              <w:rPr>
                <w:rFonts w:ascii="Tw Cen MT" w:eastAsia="Tw Cen MT" w:hAnsi="Tw Cen MT" w:cs="Tw Cen MT"/>
                <w:sz w:val="24"/>
              </w:rPr>
              <w:t>2019.17</w:t>
            </w:r>
          </w:p>
        </w:tc>
        <w:tc>
          <w:tcPr>
            <w:tcW w:w="8123" w:type="dxa"/>
            <w:tcBorders>
              <w:top w:val="single" w:sz="18" w:space="0" w:color="FFFFFF"/>
              <w:left w:val="single" w:sz="18" w:space="0" w:color="FFFFFF"/>
              <w:bottom w:val="single" w:sz="18" w:space="0" w:color="FFFFFF"/>
              <w:right w:val="nil"/>
            </w:tcBorders>
            <w:shd w:val="clear" w:color="auto" w:fill="CCCCCC"/>
          </w:tcPr>
          <w:p w:rsidR="009F51B4" w:rsidRDefault="009F51B4" w:rsidP="000E3835">
            <w:pPr>
              <w:spacing w:line="240" w:lineRule="auto"/>
            </w:pPr>
            <w:r>
              <w:t xml:space="preserve">Titze S, Schebesch-Ruf L, Großschädl  L, Strehn A, Dorner TE, Niebauer J, Lackinger C: HEPA-Steiermark – Zusammenarbeit zwischen Sozialversicherung und Sportverein. Positive Bilanz nach 3 Jahren. </w:t>
            </w:r>
            <w:r w:rsidR="000E3835">
              <w:t xml:space="preserve">In: Dorner TE, Zillmann N (Hrsg.). Sustainable Health. Abstractband zur 22. Wissenschaftlichen Tagung der der österreichischen Gesellschaft für Public Health (ÖGPH), 22. und 23. Mai 2019:86. ISBN: 978-3-200-06344-0 </w:t>
            </w:r>
          </w:p>
        </w:tc>
      </w:tr>
      <w:tr w:rsidR="00F00A15"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F00A15" w:rsidRDefault="00F00A15" w:rsidP="00F926E5">
            <w:pPr>
              <w:spacing w:line="240" w:lineRule="auto"/>
              <w:rPr>
                <w:rFonts w:ascii="Tw Cen MT" w:eastAsia="Tw Cen MT" w:hAnsi="Tw Cen MT" w:cs="Tw Cen MT"/>
                <w:sz w:val="24"/>
              </w:rPr>
            </w:pPr>
            <w:r>
              <w:rPr>
                <w:rFonts w:ascii="Tw Cen MT" w:eastAsia="Tw Cen MT" w:hAnsi="Tw Cen MT" w:cs="Tw Cen MT"/>
                <w:sz w:val="24"/>
              </w:rPr>
              <w:t>2019.18</w:t>
            </w:r>
          </w:p>
        </w:tc>
        <w:tc>
          <w:tcPr>
            <w:tcW w:w="8123" w:type="dxa"/>
            <w:tcBorders>
              <w:top w:val="single" w:sz="18" w:space="0" w:color="FFFFFF"/>
              <w:left w:val="single" w:sz="18" w:space="0" w:color="FFFFFF"/>
              <w:bottom w:val="single" w:sz="18" w:space="0" w:color="FFFFFF"/>
              <w:right w:val="nil"/>
            </w:tcBorders>
            <w:shd w:val="clear" w:color="auto" w:fill="CCCCCC"/>
          </w:tcPr>
          <w:p w:rsidR="00ED1969" w:rsidRDefault="00F00A15" w:rsidP="007162D5">
            <w:pPr>
              <w:spacing w:line="240" w:lineRule="auto"/>
            </w:pPr>
            <w:r>
              <w:t>Oberndorfer M, Mogg C, Haider S, Gra</w:t>
            </w:r>
            <w:r w:rsidR="0053049B">
              <w:t>b</w:t>
            </w:r>
            <w:r>
              <w:t>ovac I, Drgac D,</w:t>
            </w:r>
            <w:r w:rsidR="0053049B">
              <w:t xml:space="preserve"> </w:t>
            </w:r>
            <w:r>
              <w:t xml:space="preserve">Dorner T: </w:t>
            </w:r>
            <w:r w:rsidR="0053049B">
              <w:t xml:space="preserve"> Die Folgen von PartnerInnenverlust auf die Entwicklung von Gebrechlichkeit bei älteren Menschen. Ergebnisse einer Längsschnittstudie. </w:t>
            </w:r>
            <w:r w:rsidR="007162D5">
              <w:t xml:space="preserve">In: Dorner TE, Zillmann N (Hrsg.). Sustainable Health. Abstractband zur 22. Wissenschaftlichen Tagung der der österreichischen Gesellschaft für Public Health (ÖGPH), 22. und 23. Mai 2019:132. ISBN: 978-3-200-06344-0 </w:t>
            </w:r>
          </w:p>
        </w:tc>
      </w:tr>
      <w:tr w:rsidR="00807B57"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807B57" w:rsidRDefault="00807B57" w:rsidP="00F926E5">
            <w:pPr>
              <w:spacing w:line="240" w:lineRule="auto"/>
              <w:rPr>
                <w:rFonts w:ascii="Tw Cen MT" w:eastAsia="Tw Cen MT" w:hAnsi="Tw Cen MT" w:cs="Tw Cen MT"/>
                <w:sz w:val="24"/>
              </w:rPr>
            </w:pPr>
            <w:r>
              <w:rPr>
                <w:rFonts w:ascii="Tw Cen MT" w:eastAsia="Tw Cen MT" w:hAnsi="Tw Cen MT" w:cs="Tw Cen MT"/>
                <w:sz w:val="24"/>
              </w:rPr>
              <w:t>2019.19</w:t>
            </w:r>
          </w:p>
        </w:tc>
        <w:tc>
          <w:tcPr>
            <w:tcW w:w="8123" w:type="dxa"/>
            <w:tcBorders>
              <w:top w:val="single" w:sz="18" w:space="0" w:color="FFFFFF"/>
              <w:left w:val="single" w:sz="18" w:space="0" w:color="FFFFFF"/>
              <w:bottom w:val="single" w:sz="18" w:space="0" w:color="FFFFFF"/>
              <w:right w:val="nil"/>
            </w:tcBorders>
            <w:shd w:val="clear" w:color="auto" w:fill="CCCCCC"/>
          </w:tcPr>
          <w:p w:rsidR="00807B57" w:rsidRDefault="00807B57" w:rsidP="007162D5">
            <w:pPr>
              <w:spacing w:line="240" w:lineRule="auto"/>
            </w:pPr>
            <w:r>
              <w:t xml:space="preserve">Mogg C, Grabovac I, Haider S, Majewska B, Drgac D, Oberndorfer M, Dorner T: Die Auswirkungen von Gebrechlichkeit auf die Gesamtmortalität und ursachenspezifische Mortalität bei älteren Menschen – Ergebnisse der SHARE-Längsschnittuntersuchung. </w:t>
            </w:r>
            <w:r w:rsidR="007162D5">
              <w:t xml:space="preserve">In: Dorner TE, Zillmann N (Hrsg.). Sustainable Health. Abstractband zur 22. Wissenschaftlichen Tagung der der österreichischen Gesellschaft für Public Health (ÖGPH), 22. und 23. Mai 2019:135. ISBN: 978-3-200-06344-0 </w:t>
            </w:r>
          </w:p>
        </w:tc>
      </w:tr>
      <w:tr w:rsidR="003D0416"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3D0416" w:rsidRDefault="003D0416" w:rsidP="00F926E5">
            <w:pPr>
              <w:spacing w:line="240" w:lineRule="auto"/>
              <w:rPr>
                <w:rFonts w:ascii="Tw Cen MT" w:eastAsia="Tw Cen MT" w:hAnsi="Tw Cen MT" w:cs="Tw Cen MT"/>
                <w:sz w:val="24"/>
              </w:rPr>
            </w:pPr>
            <w:r>
              <w:rPr>
                <w:rFonts w:ascii="Tw Cen MT" w:eastAsia="Tw Cen MT" w:hAnsi="Tw Cen MT" w:cs="Tw Cen MT"/>
                <w:sz w:val="24"/>
              </w:rPr>
              <w:t>2019.20</w:t>
            </w:r>
          </w:p>
        </w:tc>
        <w:tc>
          <w:tcPr>
            <w:tcW w:w="8123" w:type="dxa"/>
            <w:tcBorders>
              <w:top w:val="single" w:sz="18" w:space="0" w:color="FFFFFF"/>
              <w:left w:val="single" w:sz="18" w:space="0" w:color="FFFFFF"/>
              <w:bottom w:val="single" w:sz="18" w:space="0" w:color="FFFFFF"/>
              <w:right w:val="nil"/>
            </w:tcBorders>
            <w:shd w:val="clear" w:color="auto" w:fill="CCCCCC"/>
          </w:tcPr>
          <w:p w:rsidR="003D0416" w:rsidRDefault="003D0416" w:rsidP="002A7A40">
            <w:pPr>
              <w:spacing w:line="240" w:lineRule="auto"/>
            </w:pPr>
            <w:r>
              <w:t xml:space="preserve">Drgac D, Haider S, Grabovac I, Mogg C, Oberndorfer M, Dorner T: Der Einfluss von körperlicher Aktivität, Proteinzufuhr und sozialer Deteminanten auf die Entwicklung und Gebrechlichkeit im Alter – Longitudinale Ergebnisse des Survey of Health, Ageing and Retirement (SHARE). </w:t>
            </w:r>
            <w:r w:rsidR="002A7A40">
              <w:t xml:space="preserve">In: Dorner TE, Zillmann N (Hrsg.). Sustainable Health. Abstractband zur 22. Wissenschaftlichen Tagung der der österreichischen Gesellschaft für Public Health (ÖGPH), 22. und 23. Mai 2019:137. ISBN: 978-3-200-06344-0 </w:t>
            </w:r>
            <w:r>
              <w:t xml:space="preserve"> </w:t>
            </w:r>
          </w:p>
        </w:tc>
      </w:tr>
      <w:tr w:rsidR="009033E7"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9033E7" w:rsidRDefault="009033E7" w:rsidP="00F926E5">
            <w:pPr>
              <w:spacing w:line="240" w:lineRule="auto"/>
              <w:rPr>
                <w:rFonts w:ascii="Tw Cen MT" w:eastAsia="Tw Cen MT" w:hAnsi="Tw Cen MT" w:cs="Tw Cen MT"/>
                <w:sz w:val="24"/>
              </w:rPr>
            </w:pPr>
            <w:r>
              <w:rPr>
                <w:rFonts w:ascii="Tw Cen MT" w:eastAsia="Tw Cen MT" w:hAnsi="Tw Cen MT" w:cs="Tw Cen MT"/>
                <w:sz w:val="24"/>
              </w:rPr>
              <w:t>2019.21</w:t>
            </w:r>
          </w:p>
        </w:tc>
        <w:tc>
          <w:tcPr>
            <w:tcW w:w="8123" w:type="dxa"/>
            <w:tcBorders>
              <w:top w:val="single" w:sz="18" w:space="0" w:color="FFFFFF"/>
              <w:left w:val="single" w:sz="18" w:space="0" w:color="FFFFFF"/>
              <w:bottom w:val="single" w:sz="18" w:space="0" w:color="FFFFFF"/>
              <w:right w:val="nil"/>
            </w:tcBorders>
            <w:shd w:val="clear" w:color="auto" w:fill="CCCCCC"/>
          </w:tcPr>
          <w:p w:rsidR="009033E7" w:rsidRDefault="009033E7" w:rsidP="00E27FBB">
            <w:pPr>
              <w:spacing w:line="240" w:lineRule="auto"/>
            </w:pPr>
            <w:r>
              <w:t xml:space="preserve">Linke FS, Winzer E, Schindler K, Dorner TE:Ö Zusammenhang zwischen proteinreichen Lebensmitteln im Kühlschrank und Frailty-Syndrom bei älteren Personen. </w:t>
            </w:r>
            <w:r w:rsidR="00E27FBB">
              <w:t xml:space="preserve">In: Dorner TE, Zillmann N (Hrsg.). Sustainable Health. Abstractband zur 22. Wissenschaftlichen Tagung der der österreichischen Gesellschaft für Public Health (ÖGPH), 22. und 23. Mai 2019:156. ISBN: 978-3-200-06344-0  </w:t>
            </w:r>
          </w:p>
        </w:tc>
      </w:tr>
      <w:tr w:rsidR="009033E7"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9033E7" w:rsidRDefault="009033E7" w:rsidP="00F926E5">
            <w:pPr>
              <w:spacing w:line="240" w:lineRule="auto"/>
              <w:rPr>
                <w:rFonts w:ascii="Tw Cen MT" w:eastAsia="Tw Cen MT" w:hAnsi="Tw Cen MT" w:cs="Tw Cen MT"/>
                <w:sz w:val="24"/>
              </w:rPr>
            </w:pPr>
            <w:r>
              <w:rPr>
                <w:rFonts w:ascii="Tw Cen MT" w:eastAsia="Tw Cen MT" w:hAnsi="Tw Cen MT" w:cs="Tw Cen MT"/>
                <w:sz w:val="24"/>
              </w:rPr>
              <w:t>2019.22</w:t>
            </w:r>
          </w:p>
        </w:tc>
        <w:tc>
          <w:tcPr>
            <w:tcW w:w="8123" w:type="dxa"/>
            <w:tcBorders>
              <w:top w:val="single" w:sz="18" w:space="0" w:color="FFFFFF"/>
              <w:left w:val="single" w:sz="18" w:space="0" w:color="FFFFFF"/>
              <w:bottom w:val="single" w:sz="18" w:space="0" w:color="FFFFFF"/>
              <w:right w:val="nil"/>
            </w:tcBorders>
            <w:shd w:val="clear" w:color="auto" w:fill="CCCCCC"/>
          </w:tcPr>
          <w:p w:rsidR="009033E7" w:rsidRDefault="009033E7" w:rsidP="00A839E6">
            <w:pPr>
              <w:spacing w:line="240" w:lineRule="auto"/>
            </w:pPr>
            <w:r>
              <w:t xml:space="preserve">Sedlak M, Haider S, Grabovac I, Lamprecht K, Fenzl H, Erlacher L: Ausmaß der körperlichen Aktivität bei PatientInnen mit seropositiver Rheumatoider Arthritis: eine vorläufige Datenanalyse. </w:t>
            </w:r>
            <w:r w:rsidR="00A839E6">
              <w:t xml:space="preserve">In: Dorner TE, Zillmann N (Hrsg.). Sustainable Health. Abstractband zur 22. Wissenschaftlichen Tagung der der österreichischen Gesellschaft für Public Health (ÖGPH), 22. und 23. Mai 2019:157. ISBN: 978-3-200-06344-0  </w:t>
            </w:r>
          </w:p>
        </w:tc>
      </w:tr>
      <w:tr w:rsidR="00D53594"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D53594" w:rsidRDefault="00D53594" w:rsidP="00F926E5">
            <w:pPr>
              <w:spacing w:line="240" w:lineRule="auto"/>
              <w:rPr>
                <w:rFonts w:ascii="Tw Cen MT" w:eastAsia="Tw Cen MT" w:hAnsi="Tw Cen MT" w:cs="Tw Cen MT"/>
                <w:sz w:val="24"/>
              </w:rPr>
            </w:pPr>
            <w:r>
              <w:rPr>
                <w:rFonts w:ascii="Tw Cen MT" w:eastAsia="Tw Cen MT" w:hAnsi="Tw Cen MT" w:cs="Tw Cen MT"/>
                <w:sz w:val="24"/>
              </w:rPr>
              <w:t>2019.23</w:t>
            </w:r>
          </w:p>
        </w:tc>
        <w:tc>
          <w:tcPr>
            <w:tcW w:w="8123" w:type="dxa"/>
            <w:tcBorders>
              <w:top w:val="single" w:sz="18" w:space="0" w:color="FFFFFF"/>
              <w:left w:val="single" w:sz="18" w:space="0" w:color="FFFFFF"/>
              <w:bottom w:val="single" w:sz="18" w:space="0" w:color="FFFFFF"/>
              <w:right w:val="nil"/>
            </w:tcBorders>
            <w:shd w:val="clear" w:color="auto" w:fill="CCCCCC"/>
          </w:tcPr>
          <w:p w:rsidR="00D53594" w:rsidRDefault="00D53594" w:rsidP="00A839E6">
            <w:pPr>
              <w:spacing w:line="240" w:lineRule="auto"/>
            </w:pPr>
            <w:r>
              <w:t xml:space="preserve">Haider S. Grabovac I, Dorner TE: Effekte der Bewegungsinterventionen bei gebrechlichen Personen auf den Gebrechlichkeitsstatus, die Muskelkraft, die Mobilität und die Muskelmasse: ein Review in 14 Studien. </w:t>
            </w:r>
            <w:r w:rsidR="00A839E6">
              <w:t xml:space="preserve">In: Dorner TE, Zillmann N (Hrsg.). Sustainable Health. Abstractband zur 22. Wissenschaftlichen Tagung der der österreichischen </w:t>
            </w:r>
            <w:r w:rsidR="00A839E6">
              <w:lastRenderedPageBreak/>
              <w:t xml:space="preserve">Gesellschaft für Public Health (ÖGPH), 22. und 23. Mai 2019:180.  ISBN: 978-3-200-06344-0  </w:t>
            </w:r>
          </w:p>
        </w:tc>
      </w:tr>
      <w:tr w:rsidR="00C62A75"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C62A75" w:rsidRDefault="00C62A75" w:rsidP="00C62A75">
            <w:pPr>
              <w:spacing w:line="240" w:lineRule="auto"/>
              <w:rPr>
                <w:rFonts w:ascii="Tw Cen MT" w:eastAsia="Tw Cen MT" w:hAnsi="Tw Cen MT" w:cs="Tw Cen MT"/>
                <w:sz w:val="24"/>
              </w:rPr>
            </w:pPr>
            <w:r>
              <w:rPr>
                <w:rFonts w:ascii="Tw Cen MT" w:eastAsia="Tw Cen MT" w:hAnsi="Tw Cen MT" w:cs="Tw Cen MT"/>
                <w:sz w:val="24"/>
              </w:rPr>
              <w:lastRenderedPageBreak/>
              <w:t>2019.24</w:t>
            </w:r>
          </w:p>
        </w:tc>
        <w:tc>
          <w:tcPr>
            <w:tcW w:w="8123" w:type="dxa"/>
            <w:tcBorders>
              <w:top w:val="single" w:sz="18" w:space="0" w:color="FFFFFF"/>
              <w:left w:val="single" w:sz="18" w:space="0" w:color="FFFFFF"/>
              <w:bottom w:val="single" w:sz="18" w:space="0" w:color="FFFFFF"/>
              <w:right w:val="nil"/>
            </w:tcBorders>
            <w:shd w:val="clear" w:color="auto" w:fill="CCCCCC"/>
          </w:tcPr>
          <w:p w:rsidR="00C62A75" w:rsidRDefault="00C62A75" w:rsidP="005628DA">
            <w:pPr>
              <w:spacing w:line="240" w:lineRule="auto"/>
            </w:pPr>
            <w:r>
              <w:t>Grabovac I, Smith L, McDermott D, Stefanac S, Yang L, Veronese N, Jackson SE: Well-being among Older Gay and Bisexual Men and Women in England: a Cross-sectional Population Study. J Am Med Dir Assoc</w:t>
            </w:r>
            <w:r w:rsidR="005628DA">
              <w:t>,</w:t>
            </w:r>
            <w:r>
              <w:t xml:space="preserve"> 2019</w:t>
            </w:r>
            <w:r w:rsidR="005628DA">
              <w:t>;20(9):1080.</w:t>
            </w:r>
            <w:r>
              <w:t xml:space="preserve"> DOI: 10.1016/j.jamda.2019.01.119</w:t>
            </w:r>
          </w:p>
        </w:tc>
      </w:tr>
      <w:tr w:rsidR="00F70CF9"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F70CF9" w:rsidRDefault="006441D1" w:rsidP="006441D1">
            <w:pPr>
              <w:spacing w:line="240" w:lineRule="auto"/>
              <w:rPr>
                <w:rFonts w:ascii="Tw Cen MT" w:eastAsia="Tw Cen MT" w:hAnsi="Tw Cen MT" w:cs="Tw Cen MT"/>
                <w:sz w:val="24"/>
              </w:rPr>
            </w:pPr>
            <w:r>
              <w:rPr>
                <w:rFonts w:ascii="Tw Cen MT" w:eastAsia="Tw Cen MT" w:hAnsi="Tw Cen MT" w:cs="Tw Cen MT"/>
                <w:sz w:val="24"/>
              </w:rPr>
              <w:t>2019.25</w:t>
            </w:r>
          </w:p>
        </w:tc>
        <w:tc>
          <w:tcPr>
            <w:tcW w:w="8123" w:type="dxa"/>
            <w:tcBorders>
              <w:top w:val="single" w:sz="18" w:space="0" w:color="FFFFFF"/>
              <w:left w:val="single" w:sz="18" w:space="0" w:color="FFFFFF"/>
              <w:bottom w:val="single" w:sz="18" w:space="0" w:color="FFFFFF"/>
              <w:right w:val="nil"/>
            </w:tcBorders>
            <w:shd w:val="clear" w:color="auto" w:fill="CCCCCC"/>
          </w:tcPr>
          <w:p w:rsidR="00F70CF9" w:rsidRDefault="006441D1" w:rsidP="00C62A75">
            <w:pPr>
              <w:spacing w:line="240" w:lineRule="auto"/>
            </w:pPr>
            <w:r>
              <w:t xml:space="preserve">Jackson SE, Yang L, Veronese N, Koyanagi A, Lopez-Sanchez GF, Grabovac I, Soysal P. Smith L: Sociodemographic and behavioural predictors of lifetime number of sexual partners: findings from the English Longitudinal Study of Ageing. BMJ Sex Reprod Health. 2019. DOI: 10.1136/bmjsrh-2018-200230 </w:t>
            </w:r>
          </w:p>
        </w:tc>
      </w:tr>
      <w:tr w:rsidR="009D1C01"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9D1C01" w:rsidRDefault="009D1C01" w:rsidP="006441D1">
            <w:pPr>
              <w:spacing w:line="240" w:lineRule="auto"/>
              <w:rPr>
                <w:rFonts w:ascii="Tw Cen MT" w:eastAsia="Tw Cen MT" w:hAnsi="Tw Cen MT" w:cs="Tw Cen MT"/>
                <w:sz w:val="24"/>
              </w:rPr>
            </w:pPr>
            <w:r>
              <w:rPr>
                <w:rFonts w:ascii="Tw Cen MT" w:eastAsia="Tw Cen MT" w:hAnsi="Tw Cen MT" w:cs="Tw Cen MT"/>
                <w:sz w:val="24"/>
              </w:rPr>
              <w:t>2019.26</w:t>
            </w:r>
          </w:p>
        </w:tc>
        <w:tc>
          <w:tcPr>
            <w:tcW w:w="8123" w:type="dxa"/>
            <w:tcBorders>
              <w:top w:val="single" w:sz="18" w:space="0" w:color="FFFFFF"/>
              <w:left w:val="single" w:sz="18" w:space="0" w:color="FFFFFF"/>
              <w:bottom w:val="single" w:sz="18" w:space="0" w:color="FFFFFF"/>
              <w:right w:val="nil"/>
            </w:tcBorders>
            <w:shd w:val="clear" w:color="auto" w:fill="CCCCCC"/>
          </w:tcPr>
          <w:p w:rsidR="009D1C01" w:rsidRDefault="004D5226" w:rsidP="00595D0A">
            <w:pPr>
              <w:spacing w:line="240" w:lineRule="auto"/>
            </w:pPr>
            <w:r>
              <w:t>Grabovac I, Jackson SE, Smith L: Author´s Reply to the Letter to the Editor: „Sleep and sexual arous</w:t>
            </w:r>
            <w:r w:rsidR="00595D0A">
              <w:t xml:space="preserve">al: a complex issue“. J Sex Med, </w:t>
            </w:r>
            <w:r>
              <w:t>2019</w:t>
            </w:r>
            <w:r w:rsidR="00595D0A">
              <w:t xml:space="preserve">;16(6):947-8. </w:t>
            </w:r>
            <w:r>
              <w:t>DOI:10.1016/j.jsxm.2019.03.268</w:t>
            </w:r>
          </w:p>
        </w:tc>
      </w:tr>
      <w:tr w:rsidR="00244269"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244269" w:rsidRDefault="00244269" w:rsidP="006441D1">
            <w:pPr>
              <w:spacing w:line="240" w:lineRule="auto"/>
              <w:rPr>
                <w:rFonts w:ascii="Tw Cen MT" w:eastAsia="Tw Cen MT" w:hAnsi="Tw Cen MT" w:cs="Tw Cen MT"/>
                <w:sz w:val="24"/>
              </w:rPr>
            </w:pPr>
            <w:r>
              <w:rPr>
                <w:rFonts w:ascii="Tw Cen MT" w:eastAsia="Tw Cen MT" w:hAnsi="Tw Cen MT" w:cs="Tw Cen MT"/>
                <w:sz w:val="24"/>
              </w:rPr>
              <w:t>2019.27</w:t>
            </w:r>
          </w:p>
        </w:tc>
        <w:tc>
          <w:tcPr>
            <w:tcW w:w="8123" w:type="dxa"/>
            <w:tcBorders>
              <w:top w:val="single" w:sz="18" w:space="0" w:color="FFFFFF"/>
              <w:left w:val="single" w:sz="18" w:space="0" w:color="FFFFFF"/>
              <w:bottom w:val="single" w:sz="18" w:space="0" w:color="FFFFFF"/>
              <w:right w:val="nil"/>
            </w:tcBorders>
            <w:shd w:val="clear" w:color="auto" w:fill="CCCCCC"/>
          </w:tcPr>
          <w:p w:rsidR="00244269" w:rsidRDefault="00244269" w:rsidP="00244269">
            <w:pPr>
              <w:spacing w:line="240" w:lineRule="auto"/>
            </w:pPr>
            <w:r>
              <w:t>Kotzian ST, Haider S, Grabovac I, Schubert N, Spatt J: Successful Preformance of Basic Gestures in Tablet Technology in Post Stroke Patients: A Feasibility Study. Technology and Health Care. 2019; DOI: 10.3233/THC-181427</w:t>
            </w:r>
          </w:p>
        </w:tc>
      </w:tr>
      <w:tr w:rsidR="00C36089"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C36089" w:rsidRDefault="00C36089" w:rsidP="006441D1">
            <w:pPr>
              <w:spacing w:line="240" w:lineRule="auto"/>
              <w:rPr>
                <w:rFonts w:ascii="Tw Cen MT" w:eastAsia="Tw Cen MT" w:hAnsi="Tw Cen MT" w:cs="Tw Cen MT"/>
                <w:sz w:val="24"/>
              </w:rPr>
            </w:pPr>
            <w:r>
              <w:rPr>
                <w:rFonts w:ascii="Tw Cen MT" w:eastAsia="Tw Cen MT" w:hAnsi="Tw Cen MT" w:cs="Tw Cen MT"/>
                <w:sz w:val="24"/>
              </w:rPr>
              <w:t>2019.28</w:t>
            </w:r>
          </w:p>
        </w:tc>
        <w:tc>
          <w:tcPr>
            <w:tcW w:w="8123" w:type="dxa"/>
            <w:tcBorders>
              <w:top w:val="single" w:sz="18" w:space="0" w:color="FFFFFF"/>
              <w:left w:val="single" w:sz="18" w:space="0" w:color="FFFFFF"/>
              <w:bottom w:val="single" w:sz="18" w:space="0" w:color="FFFFFF"/>
              <w:right w:val="nil"/>
            </w:tcBorders>
            <w:shd w:val="clear" w:color="auto" w:fill="CCCCCC"/>
          </w:tcPr>
          <w:p w:rsidR="00C36089" w:rsidRDefault="005F36F6" w:rsidP="00750BBF">
            <w:pPr>
              <w:spacing w:line="240" w:lineRule="auto"/>
            </w:pPr>
            <w:r>
              <w:t>Jackson SE, Hackett R, Grabovac I, Smith L, Steptoe A: Perceived discrimination, health and wellbeing among middle-aged and older lesbian, gay and bisexual people: a prospective study. PLOS One, 2019;14(5):e0216497, DOI: 10.137/journal.pone.0216497</w:t>
            </w:r>
          </w:p>
        </w:tc>
      </w:tr>
      <w:tr w:rsidR="00FD2E66"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FD2E66" w:rsidRDefault="00FD2E66" w:rsidP="006441D1">
            <w:pPr>
              <w:spacing w:line="240" w:lineRule="auto"/>
              <w:rPr>
                <w:rFonts w:ascii="Tw Cen MT" w:eastAsia="Tw Cen MT" w:hAnsi="Tw Cen MT" w:cs="Tw Cen MT"/>
                <w:sz w:val="24"/>
              </w:rPr>
            </w:pPr>
            <w:r>
              <w:rPr>
                <w:rFonts w:ascii="Tw Cen MT" w:eastAsia="Tw Cen MT" w:hAnsi="Tw Cen MT" w:cs="Tw Cen MT"/>
                <w:sz w:val="24"/>
              </w:rPr>
              <w:t>2019.29</w:t>
            </w:r>
          </w:p>
        </w:tc>
        <w:tc>
          <w:tcPr>
            <w:tcW w:w="8123" w:type="dxa"/>
            <w:tcBorders>
              <w:top w:val="single" w:sz="18" w:space="0" w:color="FFFFFF"/>
              <w:left w:val="single" w:sz="18" w:space="0" w:color="FFFFFF"/>
              <w:bottom w:val="single" w:sz="18" w:space="0" w:color="FFFFFF"/>
              <w:right w:val="nil"/>
            </w:tcBorders>
            <w:shd w:val="clear" w:color="auto" w:fill="CCCCCC"/>
          </w:tcPr>
          <w:p w:rsidR="00FD2E66" w:rsidRDefault="00FD2E66" w:rsidP="00FD2E66">
            <w:pPr>
              <w:spacing w:line="240" w:lineRule="auto"/>
            </w:pPr>
            <w:r>
              <w:t>Grabovac I, Smith L, Jackson SE, Yang L: Gastrointestinal Cancer. In: Encyclopedia of Biomedical Gerontology. Elsevier, 2019, ISBN: 9780128160756</w:t>
            </w:r>
          </w:p>
        </w:tc>
      </w:tr>
      <w:tr w:rsidR="00F63185"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F63185" w:rsidRDefault="00F63185" w:rsidP="006441D1">
            <w:pPr>
              <w:spacing w:line="240" w:lineRule="auto"/>
              <w:rPr>
                <w:rFonts w:ascii="Tw Cen MT" w:eastAsia="Tw Cen MT" w:hAnsi="Tw Cen MT" w:cs="Tw Cen MT"/>
                <w:sz w:val="24"/>
              </w:rPr>
            </w:pPr>
            <w:r>
              <w:rPr>
                <w:rFonts w:ascii="Tw Cen MT" w:eastAsia="Tw Cen MT" w:hAnsi="Tw Cen MT" w:cs="Tw Cen MT"/>
                <w:sz w:val="24"/>
              </w:rPr>
              <w:t>2019.30</w:t>
            </w:r>
          </w:p>
        </w:tc>
        <w:tc>
          <w:tcPr>
            <w:tcW w:w="8123" w:type="dxa"/>
            <w:tcBorders>
              <w:top w:val="single" w:sz="18" w:space="0" w:color="FFFFFF"/>
              <w:left w:val="single" w:sz="18" w:space="0" w:color="FFFFFF"/>
              <w:bottom w:val="single" w:sz="18" w:space="0" w:color="FFFFFF"/>
              <w:right w:val="nil"/>
            </w:tcBorders>
            <w:shd w:val="clear" w:color="auto" w:fill="CCCCCC"/>
          </w:tcPr>
          <w:p w:rsidR="00F63185" w:rsidRDefault="00F63185" w:rsidP="00E62F23">
            <w:pPr>
              <w:spacing w:line="240" w:lineRule="auto"/>
            </w:pPr>
            <w:r>
              <w:t>Sommer I, Titscher V, Teufer B, Klerings I, Nußbaumer-Streit B, Szelag M, Affengruber L, Wagner G, Glechner A, Kein C, Ebenberger A, Schiller-Frühwirth I, Dorner TE, Siebenhofer A, Haditsch B,</w:t>
            </w:r>
            <w:r w:rsidR="00E62F23">
              <w:t xml:space="preserve"> </w:t>
            </w:r>
            <w:r>
              <w:t>Bachler H, Siebert U, Gartlehner G: Evidenzbasierte Empfehlungen zur Überarbeitung der österreichischen Vorsorgeuntersuchungen. WienMedWochenschr</w:t>
            </w:r>
            <w:r w:rsidR="00E62F23">
              <w:t xml:space="preserve">, 2019;169(13-14):339-349 </w:t>
            </w:r>
          </w:p>
        </w:tc>
      </w:tr>
      <w:tr w:rsidR="00C425FC"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C425FC" w:rsidRDefault="00C425FC" w:rsidP="006441D1">
            <w:pPr>
              <w:spacing w:line="240" w:lineRule="auto"/>
              <w:rPr>
                <w:rFonts w:ascii="Tw Cen MT" w:eastAsia="Tw Cen MT" w:hAnsi="Tw Cen MT" w:cs="Tw Cen MT"/>
                <w:sz w:val="24"/>
              </w:rPr>
            </w:pPr>
            <w:r>
              <w:rPr>
                <w:rFonts w:ascii="Tw Cen MT" w:eastAsia="Tw Cen MT" w:hAnsi="Tw Cen MT" w:cs="Tw Cen MT"/>
                <w:sz w:val="24"/>
              </w:rPr>
              <w:t>2019.31</w:t>
            </w:r>
          </w:p>
        </w:tc>
        <w:tc>
          <w:tcPr>
            <w:tcW w:w="8123" w:type="dxa"/>
            <w:tcBorders>
              <w:top w:val="single" w:sz="18" w:space="0" w:color="FFFFFF"/>
              <w:left w:val="single" w:sz="18" w:space="0" w:color="FFFFFF"/>
              <w:bottom w:val="single" w:sz="18" w:space="0" w:color="FFFFFF"/>
              <w:right w:val="nil"/>
            </w:tcBorders>
            <w:shd w:val="clear" w:color="auto" w:fill="CCCCCC"/>
          </w:tcPr>
          <w:p w:rsidR="00C425FC" w:rsidRDefault="00C425FC" w:rsidP="00C425FC">
            <w:pPr>
              <w:spacing w:line="240" w:lineRule="auto"/>
            </w:pPr>
            <w:r>
              <w:t xml:space="preserve">Grabovac I, Smith L, Stefanac S, Haider S, Chao C, Waldhoer T, Jackson SE, Yang L:  Health Care Providers´Advice on Lifestyle Modification in the US Population: Results from the NHANES 2011-2016, The American Journal of Medicine 2019;132:489-497 </w:t>
            </w:r>
          </w:p>
        </w:tc>
      </w:tr>
      <w:tr w:rsidR="00CD3938"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CD3938" w:rsidRDefault="00CD3938" w:rsidP="006441D1">
            <w:pPr>
              <w:spacing w:line="240" w:lineRule="auto"/>
              <w:rPr>
                <w:rFonts w:ascii="Tw Cen MT" w:eastAsia="Tw Cen MT" w:hAnsi="Tw Cen MT" w:cs="Tw Cen MT"/>
                <w:sz w:val="24"/>
              </w:rPr>
            </w:pPr>
            <w:r>
              <w:rPr>
                <w:rFonts w:ascii="Tw Cen MT" w:eastAsia="Tw Cen MT" w:hAnsi="Tw Cen MT" w:cs="Tw Cen MT"/>
                <w:sz w:val="24"/>
              </w:rPr>
              <w:t>2019.32</w:t>
            </w:r>
          </w:p>
        </w:tc>
        <w:tc>
          <w:tcPr>
            <w:tcW w:w="8123" w:type="dxa"/>
            <w:tcBorders>
              <w:top w:val="single" w:sz="18" w:space="0" w:color="FFFFFF"/>
              <w:left w:val="single" w:sz="18" w:space="0" w:color="FFFFFF"/>
              <w:bottom w:val="single" w:sz="18" w:space="0" w:color="FFFFFF"/>
              <w:right w:val="nil"/>
            </w:tcBorders>
            <w:shd w:val="clear" w:color="auto" w:fill="CCCCCC"/>
          </w:tcPr>
          <w:p w:rsidR="00CD3938" w:rsidRDefault="00CD3938" w:rsidP="00804BBC">
            <w:pPr>
              <w:spacing w:line="240" w:lineRule="auto"/>
            </w:pPr>
            <w:r>
              <w:t>Smith L, Grabovac I, Yang L, Veronese N, Koyanagi A, Jackson S.E:  Participation in Physical Activity in Associated with Sexual Activity in Older English Adults. International Journal of Environmental Research and Public Health 2019</w:t>
            </w:r>
            <w:proofErr w:type="gramStart"/>
            <w:r>
              <w:t>;16</w:t>
            </w:r>
            <w:proofErr w:type="gramEnd"/>
            <w:r w:rsidR="00804BBC">
              <w:t>(3):</w:t>
            </w:r>
            <w:r>
              <w:t xml:space="preserve">489. DOI: 10.3390/ijerph16030489 </w:t>
            </w:r>
          </w:p>
        </w:tc>
      </w:tr>
      <w:tr w:rsidR="00F62550"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F62550" w:rsidRDefault="00F62550" w:rsidP="006441D1">
            <w:pPr>
              <w:spacing w:line="240" w:lineRule="auto"/>
              <w:rPr>
                <w:rFonts w:ascii="Tw Cen MT" w:eastAsia="Tw Cen MT" w:hAnsi="Tw Cen MT" w:cs="Tw Cen MT"/>
                <w:sz w:val="24"/>
              </w:rPr>
            </w:pPr>
            <w:r>
              <w:rPr>
                <w:rFonts w:ascii="Tw Cen MT" w:eastAsia="Tw Cen MT" w:hAnsi="Tw Cen MT" w:cs="Tw Cen MT"/>
                <w:sz w:val="24"/>
              </w:rPr>
              <w:t>2019.33</w:t>
            </w:r>
          </w:p>
        </w:tc>
        <w:tc>
          <w:tcPr>
            <w:tcW w:w="8123" w:type="dxa"/>
            <w:tcBorders>
              <w:top w:val="single" w:sz="18" w:space="0" w:color="FFFFFF"/>
              <w:left w:val="single" w:sz="18" w:space="0" w:color="FFFFFF"/>
              <w:bottom w:val="single" w:sz="18" w:space="0" w:color="FFFFFF"/>
              <w:right w:val="nil"/>
            </w:tcBorders>
            <w:shd w:val="clear" w:color="auto" w:fill="CCCCCC"/>
          </w:tcPr>
          <w:p w:rsidR="00F62550" w:rsidRDefault="006F4E52" w:rsidP="00021EFB">
            <w:pPr>
              <w:spacing w:line="240" w:lineRule="auto"/>
            </w:pPr>
            <w:r>
              <w:t xml:space="preserve">Seiler-Ramadas R, Mosor E, Omara M, Grabovac I, Schindler K. Niederkrotenthaler T, Dorner TE: `We´re going around the subject` improving sex education and adolescents´awareness of sexually transmitted infections: a qualitative study. </w:t>
            </w:r>
            <w:r w:rsidR="00021EFB">
              <w:t>Sex Education, https://doi.org/10.1080/14681811.2019.1668761</w:t>
            </w:r>
          </w:p>
        </w:tc>
      </w:tr>
      <w:tr w:rsidR="00EF445A"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EF445A" w:rsidRDefault="00EF445A" w:rsidP="006441D1">
            <w:pPr>
              <w:spacing w:line="240" w:lineRule="auto"/>
              <w:rPr>
                <w:rFonts w:ascii="Tw Cen MT" w:eastAsia="Tw Cen MT" w:hAnsi="Tw Cen MT" w:cs="Tw Cen MT"/>
                <w:sz w:val="24"/>
              </w:rPr>
            </w:pPr>
            <w:r>
              <w:rPr>
                <w:rFonts w:ascii="Tw Cen MT" w:eastAsia="Tw Cen MT" w:hAnsi="Tw Cen MT" w:cs="Tw Cen MT"/>
                <w:sz w:val="24"/>
              </w:rPr>
              <w:t>2019.34</w:t>
            </w:r>
          </w:p>
        </w:tc>
        <w:tc>
          <w:tcPr>
            <w:tcW w:w="8123" w:type="dxa"/>
            <w:tcBorders>
              <w:top w:val="single" w:sz="18" w:space="0" w:color="FFFFFF"/>
              <w:left w:val="single" w:sz="18" w:space="0" w:color="FFFFFF"/>
              <w:bottom w:val="single" w:sz="18" w:space="0" w:color="FFFFFF"/>
              <w:right w:val="nil"/>
            </w:tcBorders>
            <w:shd w:val="clear" w:color="auto" w:fill="CCCCCC"/>
          </w:tcPr>
          <w:p w:rsidR="00EF445A" w:rsidRDefault="00EF445A" w:rsidP="001544B6">
            <w:pPr>
              <w:spacing w:line="240" w:lineRule="auto"/>
            </w:pPr>
            <w:r>
              <w:t>Ropponen A, Rahman SG, Svedberg P, Helgesson M, Dorner TE, Mittendorfer-Rutz E: Changes in prescription of antidepressants and disability pension due to back pain, compared with other musculoskeletal and other somatic diagnose: a cohort study in Sweden.  BMJ</w:t>
            </w:r>
            <w:r w:rsidR="000C2465">
              <w:t xml:space="preserve"> Open 2019</w:t>
            </w:r>
            <w:r w:rsidR="001544B6">
              <w:t>;17,9(9)</w:t>
            </w:r>
            <w:r w:rsidR="000C2465">
              <w:t>:e029836. DOI: 10.1136/bmjopen-2019-029836</w:t>
            </w:r>
          </w:p>
        </w:tc>
      </w:tr>
      <w:tr w:rsidR="00F73EA9"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F73EA9" w:rsidRDefault="00F73EA9" w:rsidP="00F73EA9">
            <w:pPr>
              <w:spacing w:line="240" w:lineRule="auto"/>
              <w:rPr>
                <w:rFonts w:ascii="Tw Cen MT" w:eastAsia="Tw Cen MT" w:hAnsi="Tw Cen MT" w:cs="Tw Cen MT"/>
                <w:sz w:val="24"/>
              </w:rPr>
            </w:pPr>
            <w:r>
              <w:rPr>
                <w:rFonts w:ascii="Tw Cen MT" w:eastAsia="Tw Cen MT" w:hAnsi="Tw Cen MT" w:cs="Tw Cen MT"/>
                <w:sz w:val="24"/>
              </w:rPr>
              <w:t>2019.35</w:t>
            </w:r>
          </w:p>
        </w:tc>
        <w:tc>
          <w:tcPr>
            <w:tcW w:w="8123" w:type="dxa"/>
            <w:tcBorders>
              <w:top w:val="single" w:sz="18" w:space="0" w:color="FFFFFF"/>
              <w:left w:val="single" w:sz="18" w:space="0" w:color="FFFFFF"/>
              <w:bottom w:val="single" w:sz="18" w:space="0" w:color="FFFFFF"/>
              <w:right w:val="nil"/>
            </w:tcBorders>
            <w:shd w:val="clear" w:color="auto" w:fill="CCCCCC"/>
          </w:tcPr>
          <w:p w:rsidR="00F73EA9" w:rsidRDefault="00F73EA9" w:rsidP="00F73EA9">
            <w:pPr>
              <w:spacing w:line="240" w:lineRule="auto"/>
            </w:pPr>
            <w:r>
              <w:t>Lopez-Sanchez G, Grabovac I, Pizzol D, Yang L, Smith L: The association between difficulty seeing and physical activity among 17,777 adults residing in Spain. Int J Environ Res Public Health 2019;16(21):4267. DOI: 10.3390/ijerph16214267</w:t>
            </w:r>
          </w:p>
        </w:tc>
      </w:tr>
      <w:tr w:rsidR="0043712B"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43712B" w:rsidRDefault="0043712B" w:rsidP="00F73EA9">
            <w:pPr>
              <w:spacing w:line="240" w:lineRule="auto"/>
              <w:rPr>
                <w:rFonts w:ascii="Tw Cen MT" w:eastAsia="Tw Cen MT" w:hAnsi="Tw Cen MT" w:cs="Tw Cen MT"/>
                <w:sz w:val="24"/>
              </w:rPr>
            </w:pPr>
            <w:r>
              <w:rPr>
                <w:rFonts w:ascii="Tw Cen MT" w:eastAsia="Tw Cen MT" w:hAnsi="Tw Cen MT" w:cs="Tw Cen MT"/>
                <w:sz w:val="24"/>
              </w:rPr>
              <w:t>2019.36</w:t>
            </w:r>
          </w:p>
        </w:tc>
        <w:tc>
          <w:tcPr>
            <w:tcW w:w="8123" w:type="dxa"/>
            <w:tcBorders>
              <w:top w:val="single" w:sz="18" w:space="0" w:color="FFFFFF"/>
              <w:left w:val="single" w:sz="18" w:space="0" w:color="FFFFFF"/>
              <w:bottom w:val="single" w:sz="18" w:space="0" w:color="FFFFFF"/>
              <w:right w:val="nil"/>
            </w:tcBorders>
            <w:shd w:val="clear" w:color="auto" w:fill="CCCCCC"/>
          </w:tcPr>
          <w:p w:rsidR="0043712B" w:rsidRDefault="00CD7158" w:rsidP="00EB2A14">
            <w:pPr>
              <w:spacing w:line="240" w:lineRule="auto"/>
            </w:pPr>
            <w:r>
              <w:t>Haider S, Grabovac I, Drgac D, Mogg C, Oberndorfer M, Dorner TE: Impact of physical activity, protein intake and social network and their combination on the development of frailty. European Journal of Public Health, 2019;Oct 26 DOI: 10.1093/eurpub/ckz191</w:t>
            </w:r>
            <w:bookmarkStart w:id="0" w:name="_GoBack"/>
            <w:bookmarkEnd w:id="0"/>
          </w:p>
        </w:tc>
      </w:tr>
      <w:tr w:rsidR="00704F7F"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704F7F" w:rsidRDefault="00704F7F" w:rsidP="0010296F">
            <w:pPr>
              <w:spacing w:line="240" w:lineRule="auto"/>
              <w:rPr>
                <w:rFonts w:ascii="Tw Cen MT" w:eastAsia="Tw Cen MT" w:hAnsi="Tw Cen MT" w:cs="Tw Cen MT"/>
                <w:sz w:val="24"/>
              </w:rPr>
            </w:pPr>
            <w:r>
              <w:rPr>
                <w:rFonts w:ascii="Tw Cen MT" w:eastAsia="Tw Cen MT" w:hAnsi="Tw Cen MT" w:cs="Tw Cen MT"/>
                <w:sz w:val="24"/>
              </w:rPr>
              <w:t>2019</w:t>
            </w:r>
            <w:r w:rsidR="0010296F">
              <w:rPr>
                <w:rFonts w:ascii="Tw Cen MT" w:eastAsia="Tw Cen MT" w:hAnsi="Tw Cen MT" w:cs="Tw Cen MT"/>
                <w:sz w:val="24"/>
              </w:rPr>
              <w:t>.</w:t>
            </w:r>
            <w:r>
              <w:rPr>
                <w:rFonts w:ascii="Tw Cen MT" w:eastAsia="Tw Cen MT" w:hAnsi="Tw Cen MT" w:cs="Tw Cen MT"/>
                <w:sz w:val="24"/>
              </w:rPr>
              <w:t>37</w:t>
            </w:r>
          </w:p>
        </w:tc>
        <w:tc>
          <w:tcPr>
            <w:tcW w:w="8123" w:type="dxa"/>
            <w:tcBorders>
              <w:top w:val="single" w:sz="18" w:space="0" w:color="FFFFFF"/>
              <w:left w:val="single" w:sz="18" w:space="0" w:color="FFFFFF"/>
              <w:bottom w:val="single" w:sz="18" w:space="0" w:color="FFFFFF"/>
              <w:right w:val="nil"/>
            </w:tcBorders>
            <w:shd w:val="clear" w:color="auto" w:fill="CCCCCC"/>
          </w:tcPr>
          <w:p w:rsidR="00704F7F" w:rsidRDefault="00704F7F" w:rsidP="00C45D98">
            <w:pPr>
              <w:spacing w:line="240" w:lineRule="auto"/>
            </w:pPr>
            <w:r>
              <w:t xml:space="preserve">Smith L, Koyanagi A, Pardhan S, Grabovac I, Swami V, Soysal P, Isik A, Lopez-Sanchez G, McDermott D, Yang L, Jackson SE: Sexual Activity in Older Adults with Visual Impairment: </w:t>
            </w:r>
            <w:r>
              <w:lastRenderedPageBreak/>
              <w:t>Findings from the English Longitudinal Study of Ageing.  Sexuality and Disability</w:t>
            </w:r>
            <w:r w:rsidR="00C45D98">
              <w:t>, 2019</w:t>
            </w:r>
            <w:proofErr w:type="gramStart"/>
            <w:r w:rsidR="00C45D98">
              <w:t>;37</w:t>
            </w:r>
            <w:proofErr w:type="gramEnd"/>
            <w:r w:rsidR="00C45D98">
              <w:t>(4):475-487.</w:t>
            </w:r>
            <w:r>
              <w:t xml:space="preserve"> </w:t>
            </w:r>
            <w:r w:rsidR="00C45D98">
              <w:t>DOI:10.1007/s11195-019-09598-z</w:t>
            </w:r>
          </w:p>
        </w:tc>
      </w:tr>
      <w:tr w:rsidR="00704F7F"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704F7F" w:rsidRDefault="00704F7F" w:rsidP="00F73EA9">
            <w:pPr>
              <w:spacing w:line="240" w:lineRule="auto"/>
              <w:rPr>
                <w:rFonts w:ascii="Tw Cen MT" w:eastAsia="Tw Cen MT" w:hAnsi="Tw Cen MT" w:cs="Tw Cen MT"/>
                <w:sz w:val="24"/>
              </w:rPr>
            </w:pPr>
            <w:r>
              <w:rPr>
                <w:rFonts w:ascii="Tw Cen MT" w:eastAsia="Tw Cen MT" w:hAnsi="Tw Cen MT" w:cs="Tw Cen MT"/>
                <w:sz w:val="24"/>
              </w:rPr>
              <w:lastRenderedPageBreak/>
              <w:t>2019.38</w:t>
            </w:r>
          </w:p>
        </w:tc>
        <w:tc>
          <w:tcPr>
            <w:tcW w:w="8123" w:type="dxa"/>
            <w:tcBorders>
              <w:top w:val="single" w:sz="18" w:space="0" w:color="FFFFFF"/>
              <w:left w:val="single" w:sz="18" w:space="0" w:color="FFFFFF"/>
              <w:bottom w:val="single" w:sz="18" w:space="0" w:color="FFFFFF"/>
              <w:right w:val="nil"/>
            </w:tcBorders>
            <w:shd w:val="clear" w:color="auto" w:fill="CCCCCC"/>
          </w:tcPr>
          <w:p w:rsidR="00704F7F" w:rsidRDefault="00704F7F" w:rsidP="003C372C">
            <w:pPr>
              <w:spacing w:line="240" w:lineRule="auto"/>
            </w:pPr>
            <w:r>
              <w:t xml:space="preserve">Grabovac I, Dorner TE: </w:t>
            </w:r>
            <w:r w:rsidR="003C372C">
              <w:t>The a</w:t>
            </w:r>
            <w:r>
              <w:t xml:space="preserve">ssociation between low </w:t>
            </w:r>
            <w:r w:rsidR="003C372C">
              <w:t xml:space="preserve">back </w:t>
            </w:r>
            <w:r>
              <w:t>pain and variou</w:t>
            </w:r>
            <w:r w:rsidR="003C372C">
              <w:t>s</w:t>
            </w:r>
            <w:r>
              <w:t xml:space="preserve"> everyday performances</w:t>
            </w:r>
            <w:r w:rsidR="003C372C">
              <w:t xml:space="preserve">: activities of daily living, work-ability and sexual function. </w:t>
            </w:r>
            <w:r>
              <w:t xml:space="preserve"> WieKlinWochenschr</w:t>
            </w:r>
            <w:r w:rsidR="003C372C">
              <w:t>.</w:t>
            </w:r>
            <w:r w:rsidR="000A6A97">
              <w:t>2019</w:t>
            </w:r>
            <w:r w:rsidR="003C372C">
              <w:t xml:space="preserve">;131(21-22):541-549. DOI: </w:t>
            </w:r>
            <w:r w:rsidR="000A6A97">
              <w:t>10.</w:t>
            </w:r>
            <w:r w:rsidR="003C372C">
              <w:t>1007/s00508-01</w:t>
            </w:r>
            <w:r w:rsidR="000A6A97">
              <w:t>9-01542-7</w:t>
            </w:r>
          </w:p>
        </w:tc>
      </w:tr>
      <w:tr w:rsidR="009D526B"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9D526B" w:rsidRDefault="009D526B" w:rsidP="00F73EA9">
            <w:pPr>
              <w:spacing w:line="240" w:lineRule="auto"/>
              <w:rPr>
                <w:rFonts w:ascii="Tw Cen MT" w:eastAsia="Tw Cen MT" w:hAnsi="Tw Cen MT" w:cs="Tw Cen MT"/>
                <w:sz w:val="24"/>
              </w:rPr>
            </w:pPr>
            <w:r>
              <w:rPr>
                <w:rFonts w:ascii="Tw Cen MT" w:eastAsia="Tw Cen MT" w:hAnsi="Tw Cen MT" w:cs="Tw Cen MT"/>
                <w:sz w:val="24"/>
              </w:rPr>
              <w:t>2019.39</w:t>
            </w:r>
          </w:p>
        </w:tc>
        <w:tc>
          <w:tcPr>
            <w:tcW w:w="8123" w:type="dxa"/>
            <w:tcBorders>
              <w:top w:val="single" w:sz="18" w:space="0" w:color="FFFFFF"/>
              <w:left w:val="single" w:sz="18" w:space="0" w:color="FFFFFF"/>
              <w:bottom w:val="single" w:sz="18" w:space="0" w:color="FFFFFF"/>
              <w:right w:val="nil"/>
            </w:tcBorders>
            <w:shd w:val="clear" w:color="auto" w:fill="CCCCCC"/>
          </w:tcPr>
          <w:p w:rsidR="009D526B" w:rsidRDefault="009D526B" w:rsidP="000F2CEF">
            <w:pPr>
              <w:spacing w:line="240" w:lineRule="auto"/>
            </w:pPr>
            <w:r>
              <w:t>Bokenberger J, Rahman S, Wang M, Vaez M, Dorner TE, Helgesson M, Ivert T, Mittendorfer-Rutz E: Work disability patterns before and after incident acute myocardial infarction and subsequent risk of common mental disorders: A Swedish cohort study. Scientific Reports 2019;</w:t>
            </w:r>
            <w:r w:rsidR="005F4B73">
              <w:t>6,9(1)</w:t>
            </w:r>
            <w:r>
              <w:t xml:space="preserve">:16086. https://doi:org/10.1038/s41598-019-52487-w </w:t>
            </w:r>
          </w:p>
        </w:tc>
      </w:tr>
      <w:tr w:rsidR="00696033"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696033" w:rsidRDefault="00696033" w:rsidP="00F73EA9">
            <w:pPr>
              <w:spacing w:line="240" w:lineRule="auto"/>
              <w:rPr>
                <w:rFonts w:ascii="Tw Cen MT" w:eastAsia="Tw Cen MT" w:hAnsi="Tw Cen MT" w:cs="Tw Cen MT"/>
                <w:sz w:val="24"/>
              </w:rPr>
            </w:pPr>
            <w:r>
              <w:rPr>
                <w:rFonts w:ascii="Tw Cen MT" w:eastAsia="Tw Cen MT" w:hAnsi="Tw Cen MT" w:cs="Tw Cen MT"/>
                <w:sz w:val="24"/>
              </w:rPr>
              <w:t>2019.40</w:t>
            </w:r>
          </w:p>
        </w:tc>
        <w:tc>
          <w:tcPr>
            <w:tcW w:w="8123" w:type="dxa"/>
            <w:tcBorders>
              <w:top w:val="single" w:sz="18" w:space="0" w:color="FFFFFF"/>
              <w:left w:val="single" w:sz="18" w:space="0" w:color="FFFFFF"/>
              <w:bottom w:val="single" w:sz="18" w:space="0" w:color="FFFFFF"/>
              <w:right w:val="nil"/>
            </w:tcBorders>
            <w:shd w:val="clear" w:color="auto" w:fill="CCCCCC"/>
          </w:tcPr>
          <w:p w:rsidR="00696033" w:rsidRDefault="00696033" w:rsidP="00696033">
            <w:pPr>
              <w:spacing w:line="240" w:lineRule="auto"/>
            </w:pPr>
            <w:r>
              <w:t>Grabovac I, Jackson SE, Koyanagi A, Yang L, Veronese N, Smith L: Prospective associations between alcohol use, binge drinking and sexual in older adults. The English Longitudinal Study of Ageinig. Psychol Sex. 2019. DOI:10.1080/19419899.2019.1687581</w:t>
            </w:r>
          </w:p>
        </w:tc>
      </w:tr>
      <w:tr w:rsidR="002953DA"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2953DA" w:rsidRDefault="002953DA" w:rsidP="00F73EA9">
            <w:pPr>
              <w:spacing w:line="240" w:lineRule="auto"/>
              <w:rPr>
                <w:rFonts w:ascii="Tw Cen MT" w:eastAsia="Tw Cen MT" w:hAnsi="Tw Cen MT" w:cs="Tw Cen MT"/>
                <w:sz w:val="24"/>
              </w:rPr>
            </w:pPr>
            <w:r>
              <w:rPr>
                <w:rFonts w:ascii="Tw Cen MT" w:eastAsia="Tw Cen MT" w:hAnsi="Tw Cen MT" w:cs="Tw Cen MT"/>
                <w:sz w:val="24"/>
              </w:rPr>
              <w:t>2019.41</w:t>
            </w:r>
          </w:p>
        </w:tc>
        <w:tc>
          <w:tcPr>
            <w:tcW w:w="8123" w:type="dxa"/>
            <w:tcBorders>
              <w:top w:val="single" w:sz="18" w:space="0" w:color="FFFFFF"/>
              <w:left w:val="single" w:sz="18" w:space="0" w:color="FFFFFF"/>
              <w:bottom w:val="single" w:sz="18" w:space="0" w:color="FFFFFF"/>
              <w:right w:val="nil"/>
            </w:tcBorders>
            <w:shd w:val="clear" w:color="auto" w:fill="CCCCCC"/>
          </w:tcPr>
          <w:p w:rsidR="002953DA" w:rsidRDefault="002953DA" w:rsidP="00696033">
            <w:pPr>
              <w:spacing w:line="240" w:lineRule="auto"/>
            </w:pPr>
            <w:r>
              <w:t xml:space="preserve">Jackson SE, Smith L, Firth J, Grabovac I, Soysal P, Koyanagi A, Hu L, Stubbs B, Demurtas J, Veronese N, Zhu X, Yang L: Is there a relationship between chocolate consumption and symptoms of depression? A cross-sectional survey of 13,626 US adults.  Depress Anxiety 2019;1-9. DOI: 10.1002/da.22950 </w:t>
            </w:r>
          </w:p>
        </w:tc>
      </w:tr>
      <w:tr w:rsidR="00A42E2D"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A42E2D" w:rsidRDefault="00A42E2D" w:rsidP="00F73EA9">
            <w:pPr>
              <w:spacing w:line="240" w:lineRule="auto"/>
              <w:rPr>
                <w:rFonts w:ascii="Tw Cen MT" w:eastAsia="Tw Cen MT" w:hAnsi="Tw Cen MT" w:cs="Tw Cen MT"/>
                <w:sz w:val="24"/>
              </w:rPr>
            </w:pPr>
            <w:r>
              <w:rPr>
                <w:rFonts w:ascii="Tw Cen MT" w:eastAsia="Tw Cen MT" w:hAnsi="Tw Cen MT" w:cs="Tw Cen MT"/>
                <w:sz w:val="24"/>
              </w:rPr>
              <w:t>2019.42</w:t>
            </w:r>
          </w:p>
        </w:tc>
        <w:tc>
          <w:tcPr>
            <w:tcW w:w="8123" w:type="dxa"/>
            <w:tcBorders>
              <w:top w:val="single" w:sz="18" w:space="0" w:color="FFFFFF"/>
              <w:left w:val="single" w:sz="18" w:space="0" w:color="FFFFFF"/>
              <w:bottom w:val="single" w:sz="18" w:space="0" w:color="FFFFFF"/>
              <w:right w:val="nil"/>
            </w:tcBorders>
            <w:shd w:val="clear" w:color="auto" w:fill="CCCCCC"/>
          </w:tcPr>
          <w:p w:rsidR="00B54062" w:rsidRDefault="00A42E2D" w:rsidP="000F2CEF">
            <w:pPr>
              <w:spacing w:line="240" w:lineRule="auto"/>
            </w:pPr>
            <w:r>
              <w:t>Smith L, Veronese N, L</w:t>
            </w:r>
            <w:r w:rsidR="00383B43">
              <w:t>ó</w:t>
            </w:r>
            <w:r>
              <w:t xml:space="preserve">pez-Sánchez GF, Moller E, Johnstone J, Firth J, Grabovac I, Yang L, Soysal P, Jackson SE: </w:t>
            </w:r>
            <w:r w:rsidR="00383B43">
              <w:t xml:space="preserve">Health behaviours and mental and physical health status in older adults with a history of homelessness: a cross-sectional population-based study in England. </w:t>
            </w:r>
            <w:r w:rsidR="003B074E">
              <w:t xml:space="preserve">BMJ Open 2019;9:e028003. DOI: 10.1136/bmjopen-2018-028003 </w:t>
            </w:r>
          </w:p>
        </w:tc>
      </w:tr>
      <w:tr w:rsidR="00C17F9B"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C17F9B" w:rsidRDefault="00C17F9B" w:rsidP="00F73EA9">
            <w:pPr>
              <w:spacing w:line="240" w:lineRule="auto"/>
              <w:rPr>
                <w:rFonts w:ascii="Tw Cen MT" w:eastAsia="Tw Cen MT" w:hAnsi="Tw Cen MT" w:cs="Tw Cen MT"/>
                <w:sz w:val="24"/>
              </w:rPr>
            </w:pPr>
            <w:r>
              <w:rPr>
                <w:rFonts w:ascii="Tw Cen MT" w:eastAsia="Tw Cen MT" w:hAnsi="Tw Cen MT" w:cs="Tw Cen MT"/>
                <w:sz w:val="24"/>
              </w:rPr>
              <w:t>2019.43</w:t>
            </w:r>
          </w:p>
        </w:tc>
        <w:tc>
          <w:tcPr>
            <w:tcW w:w="8123" w:type="dxa"/>
            <w:tcBorders>
              <w:top w:val="single" w:sz="18" w:space="0" w:color="FFFFFF"/>
              <w:left w:val="single" w:sz="18" w:space="0" w:color="FFFFFF"/>
              <w:bottom w:val="single" w:sz="18" w:space="0" w:color="FFFFFF"/>
              <w:right w:val="nil"/>
            </w:tcBorders>
            <w:shd w:val="clear" w:color="auto" w:fill="CCCCCC"/>
          </w:tcPr>
          <w:p w:rsidR="0086449C" w:rsidRDefault="00C17F9B" w:rsidP="00E733A4">
            <w:pPr>
              <w:spacing w:line="240" w:lineRule="auto"/>
            </w:pPr>
            <w:r>
              <w:t>Smith L, Firth J, Grabovac I, Koyanagi A, Veronese N, Stubbs B, Soysal P, Yang L, Jackson SE: The association of grip strength with depressive symptoms and cortisol in hair: A cross-sectional study of older</w:t>
            </w:r>
            <w:r w:rsidR="002036B7">
              <w:t xml:space="preserve"> adults. Scand J Med Sci Sports,</w:t>
            </w:r>
            <w:r>
              <w:t xml:space="preserve"> 2019;</w:t>
            </w:r>
            <w:r w:rsidR="002036B7">
              <w:t>29(1</w:t>
            </w:r>
            <w:r w:rsidR="00E733A4">
              <w:t>0</w:t>
            </w:r>
          </w:p>
          <w:p w:rsidR="00C17F9B" w:rsidRDefault="002036B7" w:rsidP="00E733A4">
            <w:pPr>
              <w:spacing w:line="240" w:lineRule="auto"/>
            </w:pPr>
            <w:r>
              <w:t xml:space="preserve">):1604-9. DOI: 10.1111/sms.13497 </w:t>
            </w:r>
          </w:p>
        </w:tc>
      </w:tr>
      <w:tr w:rsidR="00082C1B"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082C1B" w:rsidRDefault="00082C1B" w:rsidP="00F73EA9">
            <w:pPr>
              <w:spacing w:line="240" w:lineRule="auto"/>
              <w:rPr>
                <w:rFonts w:ascii="Tw Cen MT" w:eastAsia="Tw Cen MT" w:hAnsi="Tw Cen MT" w:cs="Tw Cen MT"/>
                <w:sz w:val="24"/>
              </w:rPr>
            </w:pPr>
            <w:r>
              <w:rPr>
                <w:rFonts w:ascii="Tw Cen MT" w:eastAsia="Tw Cen MT" w:hAnsi="Tw Cen MT" w:cs="Tw Cen MT"/>
                <w:sz w:val="24"/>
              </w:rPr>
              <w:t>2019.44</w:t>
            </w:r>
          </w:p>
        </w:tc>
        <w:tc>
          <w:tcPr>
            <w:tcW w:w="8123" w:type="dxa"/>
            <w:tcBorders>
              <w:top w:val="single" w:sz="18" w:space="0" w:color="FFFFFF"/>
              <w:left w:val="single" w:sz="18" w:space="0" w:color="FFFFFF"/>
              <w:bottom w:val="single" w:sz="18" w:space="0" w:color="FFFFFF"/>
              <w:right w:val="nil"/>
            </w:tcBorders>
            <w:shd w:val="clear" w:color="auto" w:fill="CCCCCC"/>
          </w:tcPr>
          <w:p w:rsidR="00082C1B" w:rsidRPr="00082C1B" w:rsidRDefault="00082C1B" w:rsidP="00C17F9B">
            <w:pPr>
              <w:spacing w:line="240" w:lineRule="auto"/>
              <w:rPr>
                <w:sz w:val="24"/>
              </w:rPr>
            </w:pPr>
            <w:r>
              <w:t>Haider S, Grabovac I, Berner C, Lamprecht T, Fenzl KH, Erlacher L, Quittan M, Dorner TE: Frailty in seropositive rheumatoid arthritis patients of working age: a cross-sectional study. Clinical and Experimental Rheumatology 2019;37</w:t>
            </w:r>
            <w:r w:rsidR="002F65E9">
              <w:t>(4):585-592</w:t>
            </w:r>
            <w:r>
              <w:t xml:space="preserve"> </w:t>
            </w:r>
          </w:p>
        </w:tc>
      </w:tr>
      <w:tr w:rsidR="00082C1B"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082C1B" w:rsidRDefault="00082C1B" w:rsidP="00F73EA9">
            <w:pPr>
              <w:spacing w:line="240" w:lineRule="auto"/>
              <w:rPr>
                <w:rFonts w:ascii="Tw Cen MT" w:eastAsia="Tw Cen MT" w:hAnsi="Tw Cen MT" w:cs="Tw Cen MT"/>
                <w:sz w:val="24"/>
              </w:rPr>
            </w:pPr>
            <w:r>
              <w:rPr>
                <w:rFonts w:ascii="Tw Cen MT" w:eastAsia="Tw Cen MT" w:hAnsi="Tw Cen MT" w:cs="Tw Cen MT"/>
                <w:sz w:val="24"/>
              </w:rPr>
              <w:t>2019.45</w:t>
            </w:r>
          </w:p>
        </w:tc>
        <w:tc>
          <w:tcPr>
            <w:tcW w:w="8123" w:type="dxa"/>
            <w:tcBorders>
              <w:top w:val="single" w:sz="18" w:space="0" w:color="FFFFFF"/>
              <w:left w:val="single" w:sz="18" w:space="0" w:color="FFFFFF"/>
              <w:bottom w:val="single" w:sz="18" w:space="0" w:color="FFFFFF"/>
              <w:right w:val="nil"/>
            </w:tcBorders>
            <w:shd w:val="clear" w:color="auto" w:fill="CCCCCC"/>
          </w:tcPr>
          <w:p w:rsidR="00082C1B" w:rsidRDefault="00082C1B" w:rsidP="00264522">
            <w:pPr>
              <w:spacing w:line="240" w:lineRule="auto"/>
            </w:pPr>
            <w:r>
              <w:t>Jackson SE, Firth J, Grabovac I, Koyanagi A, Stubbs B, Soysal P, Willmott A, Yang L, Smith L: Sedentary behaviour and chronic stress in old age: A cross-sectional analysis of TV viewing an</w:t>
            </w:r>
            <w:r w:rsidR="00264522">
              <w:t>d hait cortisol concentrations. Psychoneuroendocrinology 2019;109:104375</w:t>
            </w:r>
          </w:p>
        </w:tc>
      </w:tr>
      <w:tr w:rsidR="004878CE"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4878CE" w:rsidRDefault="004878CE" w:rsidP="00F73EA9">
            <w:pPr>
              <w:spacing w:line="240" w:lineRule="auto"/>
              <w:rPr>
                <w:rFonts w:ascii="Tw Cen MT" w:eastAsia="Tw Cen MT" w:hAnsi="Tw Cen MT" w:cs="Tw Cen MT"/>
                <w:sz w:val="24"/>
              </w:rPr>
            </w:pPr>
            <w:r>
              <w:rPr>
                <w:rFonts w:ascii="Tw Cen MT" w:eastAsia="Tw Cen MT" w:hAnsi="Tw Cen MT" w:cs="Tw Cen MT"/>
                <w:sz w:val="24"/>
              </w:rPr>
              <w:t>2019.46</w:t>
            </w:r>
          </w:p>
        </w:tc>
        <w:tc>
          <w:tcPr>
            <w:tcW w:w="8123" w:type="dxa"/>
            <w:tcBorders>
              <w:top w:val="single" w:sz="18" w:space="0" w:color="FFFFFF"/>
              <w:left w:val="single" w:sz="18" w:space="0" w:color="FFFFFF"/>
              <w:bottom w:val="single" w:sz="18" w:space="0" w:color="FFFFFF"/>
              <w:right w:val="nil"/>
            </w:tcBorders>
            <w:shd w:val="clear" w:color="auto" w:fill="CCCCCC"/>
          </w:tcPr>
          <w:p w:rsidR="004878CE" w:rsidRDefault="004878CE" w:rsidP="004878CE">
            <w:pPr>
              <w:spacing w:line="240" w:lineRule="auto"/>
            </w:pPr>
            <w:r>
              <w:t>Pizzol D, Smith L, Koyanagi A, Stubbs B, Grabovac I, Jackson SE, Veronese N: Do Older People with Diabetes Meet the Recommended Weekly Physical Activity Targets? An Analysis of Objective Physical Activity Data. Int. J. Environ. Res. Public Health 2019;16</w:t>
            </w:r>
            <w:r w:rsidR="00B958A9">
              <w:t>(14)</w:t>
            </w:r>
            <w:r>
              <w:t>:2489. DOI: 10.3390/ijerph16142489</w:t>
            </w:r>
          </w:p>
        </w:tc>
      </w:tr>
      <w:tr w:rsidR="00EF718C"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EF718C" w:rsidRDefault="00EF718C" w:rsidP="00F73EA9">
            <w:pPr>
              <w:spacing w:line="240" w:lineRule="auto"/>
              <w:rPr>
                <w:rFonts w:ascii="Tw Cen MT" w:eastAsia="Tw Cen MT" w:hAnsi="Tw Cen MT" w:cs="Tw Cen MT"/>
                <w:sz w:val="24"/>
              </w:rPr>
            </w:pPr>
            <w:r>
              <w:rPr>
                <w:rFonts w:ascii="Tw Cen MT" w:eastAsia="Tw Cen MT" w:hAnsi="Tw Cen MT" w:cs="Tw Cen MT"/>
                <w:sz w:val="24"/>
              </w:rPr>
              <w:t>2019.47</w:t>
            </w:r>
          </w:p>
        </w:tc>
        <w:tc>
          <w:tcPr>
            <w:tcW w:w="8123" w:type="dxa"/>
            <w:tcBorders>
              <w:top w:val="single" w:sz="18" w:space="0" w:color="FFFFFF"/>
              <w:left w:val="single" w:sz="18" w:space="0" w:color="FFFFFF"/>
              <w:bottom w:val="single" w:sz="18" w:space="0" w:color="FFFFFF"/>
              <w:right w:val="nil"/>
            </w:tcBorders>
            <w:shd w:val="clear" w:color="auto" w:fill="CCCCCC"/>
          </w:tcPr>
          <w:p w:rsidR="00EF718C" w:rsidRDefault="00EF718C" w:rsidP="005D6C8D">
            <w:pPr>
              <w:spacing w:line="240" w:lineRule="auto"/>
            </w:pPr>
            <w:r>
              <w:t xml:space="preserve">Smith L, Cao C, Zong X, McDermott DT, Stefanac S, Haider S, Jackson SE, Veronese N, López-Sánchez GF, Koyanagi A, Yang L, Grabovac I: Syndemic effects of HIV risk behaviours: results from the NHANES study. </w:t>
            </w:r>
            <w:r w:rsidR="005D6C8D">
              <w:t xml:space="preserve">Epidemiology and Infection, </w:t>
            </w:r>
            <w:r w:rsidR="00D0429C">
              <w:t xml:space="preserve"> 2019</w:t>
            </w:r>
            <w:proofErr w:type="gramStart"/>
            <w:r w:rsidR="005D6C8D">
              <w:t>;147:e241</w:t>
            </w:r>
            <w:proofErr w:type="gramEnd"/>
            <w:r w:rsidR="005D6C8D">
              <w:t>. DOI:10.1017/s095026881900133x</w:t>
            </w:r>
          </w:p>
        </w:tc>
      </w:tr>
      <w:tr w:rsidR="001229A6"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1229A6" w:rsidRDefault="001229A6" w:rsidP="00F73EA9">
            <w:pPr>
              <w:spacing w:line="240" w:lineRule="auto"/>
              <w:rPr>
                <w:rFonts w:ascii="Tw Cen MT" w:eastAsia="Tw Cen MT" w:hAnsi="Tw Cen MT" w:cs="Tw Cen MT"/>
                <w:sz w:val="24"/>
              </w:rPr>
            </w:pPr>
            <w:r>
              <w:rPr>
                <w:rFonts w:ascii="Tw Cen MT" w:eastAsia="Tw Cen MT" w:hAnsi="Tw Cen MT" w:cs="Tw Cen MT"/>
                <w:sz w:val="24"/>
              </w:rPr>
              <w:t>2019.48</w:t>
            </w:r>
          </w:p>
        </w:tc>
        <w:tc>
          <w:tcPr>
            <w:tcW w:w="8123" w:type="dxa"/>
            <w:tcBorders>
              <w:top w:val="single" w:sz="18" w:space="0" w:color="FFFFFF"/>
              <w:left w:val="single" w:sz="18" w:space="0" w:color="FFFFFF"/>
              <w:bottom w:val="single" w:sz="18" w:space="0" w:color="FFFFFF"/>
              <w:right w:val="nil"/>
            </w:tcBorders>
            <w:shd w:val="clear" w:color="auto" w:fill="CCCCCC"/>
          </w:tcPr>
          <w:p w:rsidR="001229A6" w:rsidRDefault="001229A6" w:rsidP="00A81D9F">
            <w:pPr>
              <w:spacing w:line="240" w:lineRule="auto"/>
            </w:pPr>
            <w:r>
              <w:t>Haider S, Grabovac I, Rieder A, Dorner TE: Depressive Symptoms, Lack of Physical Activity, and Their Combination Towards Health Care Utilisation Frequency. Int. J. Environ. Res. Public Health 2019;</w:t>
            </w:r>
            <w:r w:rsidR="00A81D9F">
              <w:t>26,16(23)</w:t>
            </w:r>
            <w:r>
              <w:t>:4697. DOI:10.3390/ijerph16234697</w:t>
            </w:r>
          </w:p>
        </w:tc>
      </w:tr>
      <w:tr w:rsidR="009F6BCE"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9F6BCE" w:rsidRDefault="009F6BCE" w:rsidP="00F73EA9">
            <w:pPr>
              <w:spacing w:line="240" w:lineRule="auto"/>
              <w:rPr>
                <w:rFonts w:ascii="Tw Cen MT" w:eastAsia="Tw Cen MT" w:hAnsi="Tw Cen MT" w:cs="Tw Cen MT"/>
                <w:sz w:val="24"/>
              </w:rPr>
            </w:pPr>
            <w:r>
              <w:rPr>
                <w:rFonts w:ascii="Tw Cen MT" w:eastAsia="Tw Cen MT" w:hAnsi="Tw Cen MT" w:cs="Tw Cen MT"/>
                <w:sz w:val="24"/>
              </w:rPr>
              <w:t>2019.49</w:t>
            </w:r>
          </w:p>
        </w:tc>
        <w:tc>
          <w:tcPr>
            <w:tcW w:w="8123" w:type="dxa"/>
            <w:tcBorders>
              <w:top w:val="single" w:sz="18" w:space="0" w:color="FFFFFF"/>
              <w:left w:val="single" w:sz="18" w:space="0" w:color="FFFFFF"/>
              <w:bottom w:val="single" w:sz="18" w:space="0" w:color="FFFFFF"/>
              <w:right w:val="nil"/>
            </w:tcBorders>
            <w:shd w:val="clear" w:color="auto" w:fill="CCCCCC"/>
          </w:tcPr>
          <w:p w:rsidR="009F6BCE" w:rsidRDefault="009F6BCE" w:rsidP="00C515C1">
            <w:pPr>
              <w:spacing w:line="240" w:lineRule="auto"/>
            </w:pPr>
            <w:r>
              <w:t>Dorner T: Wie gesundheitsförderlich ist die Gesundheitsversorgung?  Gesundes Österreich. Magazin für Gesundheitsförderung und Prävention. Bundesministerium für Arbeit, Soziales, Gesundheit und Konsumentenschutz, 2019</w:t>
            </w:r>
            <w:r w:rsidR="00C515C1">
              <w:t>(29):13</w:t>
            </w:r>
          </w:p>
        </w:tc>
      </w:tr>
      <w:tr w:rsidR="009F6BCE"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9F6BCE" w:rsidRDefault="009F6BCE" w:rsidP="00F73EA9">
            <w:pPr>
              <w:spacing w:line="240" w:lineRule="auto"/>
              <w:rPr>
                <w:rFonts w:ascii="Tw Cen MT" w:eastAsia="Tw Cen MT" w:hAnsi="Tw Cen MT" w:cs="Tw Cen MT"/>
                <w:sz w:val="24"/>
              </w:rPr>
            </w:pPr>
            <w:r>
              <w:rPr>
                <w:rFonts w:ascii="Tw Cen MT" w:eastAsia="Tw Cen MT" w:hAnsi="Tw Cen MT" w:cs="Tw Cen MT"/>
                <w:sz w:val="24"/>
              </w:rPr>
              <w:t>2019.50</w:t>
            </w:r>
          </w:p>
        </w:tc>
        <w:tc>
          <w:tcPr>
            <w:tcW w:w="8123" w:type="dxa"/>
            <w:tcBorders>
              <w:top w:val="single" w:sz="18" w:space="0" w:color="FFFFFF"/>
              <w:left w:val="single" w:sz="18" w:space="0" w:color="FFFFFF"/>
              <w:bottom w:val="single" w:sz="18" w:space="0" w:color="FFFFFF"/>
              <w:right w:val="nil"/>
            </w:tcBorders>
            <w:shd w:val="clear" w:color="auto" w:fill="CCCCCC"/>
          </w:tcPr>
          <w:p w:rsidR="009F6BCE" w:rsidRDefault="009F6BCE" w:rsidP="002B3C15">
            <w:pPr>
              <w:spacing w:line="240" w:lineRule="auto"/>
            </w:pPr>
            <w:r>
              <w:t xml:space="preserve">Dorner TE: </w:t>
            </w:r>
            <w:r w:rsidR="002B3C15">
              <w:t xml:space="preserve">Krebsepidemiologie. </w:t>
            </w:r>
            <w:r>
              <w:t>Häufigkeit von Krebserkrankungen bei Frauen und Männern. Spectrum Onkologie 2019</w:t>
            </w:r>
            <w:r w:rsidR="002B3C15">
              <w:t>(</w:t>
            </w:r>
            <w:r>
              <w:t>8</w:t>
            </w:r>
            <w:r w:rsidR="002B3C15">
              <w:t>)</w:t>
            </w:r>
            <w:r>
              <w:t>:12-4</w:t>
            </w:r>
          </w:p>
        </w:tc>
      </w:tr>
      <w:tr w:rsidR="00AF51E1"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AF51E1" w:rsidRDefault="00AF51E1" w:rsidP="00F73EA9">
            <w:pPr>
              <w:spacing w:line="240" w:lineRule="auto"/>
              <w:rPr>
                <w:rFonts w:ascii="Tw Cen MT" w:eastAsia="Tw Cen MT" w:hAnsi="Tw Cen MT" w:cs="Tw Cen MT"/>
                <w:sz w:val="24"/>
              </w:rPr>
            </w:pPr>
            <w:r>
              <w:rPr>
                <w:rFonts w:ascii="Tw Cen MT" w:eastAsia="Tw Cen MT" w:hAnsi="Tw Cen MT" w:cs="Tw Cen MT"/>
                <w:sz w:val="24"/>
              </w:rPr>
              <w:t>2019.51</w:t>
            </w:r>
          </w:p>
        </w:tc>
        <w:tc>
          <w:tcPr>
            <w:tcW w:w="8123" w:type="dxa"/>
            <w:tcBorders>
              <w:top w:val="single" w:sz="18" w:space="0" w:color="FFFFFF"/>
              <w:left w:val="single" w:sz="18" w:space="0" w:color="FFFFFF"/>
              <w:bottom w:val="single" w:sz="18" w:space="0" w:color="FFFFFF"/>
              <w:right w:val="nil"/>
            </w:tcBorders>
            <w:shd w:val="clear" w:color="auto" w:fill="CCCCCC"/>
          </w:tcPr>
          <w:p w:rsidR="00AF51E1" w:rsidRDefault="00AF51E1" w:rsidP="00AF51E1">
            <w:pPr>
              <w:spacing w:line="240" w:lineRule="auto"/>
            </w:pPr>
            <w:r>
              <w:t xml:space="preserve">Bokenberger K, Rahman S, Wang M, Vaez M, Dorner TE, Helgesson M, Ivert T, Mittendorfer Rutz E: Work disability before and after incident myocardial infarction and </w:t>
            </w:r>
            <w:r>
              <w:lastRenderedPageBreak/>
              <w:t>subesquent common mental disorder. European Jo</w:t>
            </w:r>
            <w:r w:rsidR="008D7A87">
              <w:t>urnal of Public Health, 2019;29( Supplement 4):338-9. DOI: 10.1093/eurpub/ckz187.111</w:t>
            </w:r>
          </w:p>
        </w:tc>
      </w:tr>
      <w:tr w:rsidR="00A348EA"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A348EA" w:rsidRDefault="00A348EA" w:rsidP="00F73EA9">
            <w:pPr>
              <w:spacing w:line="240" w:lineRule="auto"/>
              <w:rPr>
                <w:rFonts w:ascii="Tw Cen MT" w:eastAsia="Tw Cen MT" w:hAnsi="Tw Cen MT" w:cs="Tw Cen MT"/>
                <w:sz w:val="24"/>
              </w:rPr>
            </w:pPr>
            <w:r>
              <w:rPr>
                <w:rFonts w:ascii="Tw Cen MT" w:eastAsia="Tw Cen MT" w:hAnsi="Tw Cen MT" w:cs="Tw Cen MT"/>
                <w:sz w:val="24"/>
              </w:rPr>
              <w:lastRenderedPageBreak/>
              <w:t>2019.52</w:t>
            </w:r>
          </w:p>
        </w:tc>
        <w:tc>
          <w:tcPr>
            <w:tcW w:w="8123" w:type="dxa"/>
            <w:tcBorders>
              <w:top w:val="single" w:sz="18" w:space="0" w:color="FFFFFF"/>
              <w:left w:val="single" w:sz="18" w:space="0" w:color="FFFFFF"/>
              <w:bottom w:val="single" w:sz="18" w:space="0" w:color="FFFFFF"/>
              <w:right w:val="nil"/>
            </w:tcBorders>
            <w:shd w:val="clear" w:color="auto" w:fill="CCCCCC"/>
          </w:tcPr>
          <w:p w:rsidR="00A348EA" w:rsidRDefault="00A348EA" w:rsidP="00EC2261">
            <w:pPr>
              <w:spacing w:line="240" w:lineRule="auto"/>
            </w:pPr>
            <w:r>
              <w:t>Haider S, Dorner TE, Grabovac I: Influence of Physical Activity, Protein Intake and Social Network on the Frailty development. European Journal of Public Health, 2019;29</w:t>
            </w:r>
            <w:r w:rsidR="00EC2261">
              <w:t>( Supplement 4): 58-9. DOI: 10.1093/eurpub/ckz185.143</w:t>
            </w:r>
          </w:p>
        </w:tc>
      </w:tr>
      <w:tr w:rsidR="00125BD5"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125BD5" w:rsidRDefault="00125BD5" w:rsidP="00F73EA9">
            <w:pPr>
              <w:spacing w:line="240" w:lineRule="auto"/>
              <w:rPr>
                <w:rFonts w:ascii="Tw Cen MT" w:eastAsia="Tw Cen MT" w:hAnsi="Tw Cen MT" w:cs="Tw Cen MT"/>
                <w:sz w:val="24"/>
              </w:rPr>
            </w:pPr>
            <w:r>
              <w:rPr>
                <w:rFonts w:ascii="Tw Cen MT" w:eastAsia="Tw Cen MT" w:hAnsi="Tw Cen MT" w:cs="Tw Cen MT"/>
                <w:sz w:val="24"/>
              </w:rPr>
              <w:t>2019.53</w:t>
            </w:r>
          </w:p>
        </w:tc>
        <w:tc>
          <w:tcPr>
            <w:tcW w:w="8123" w:type="dxa"/>
            <w:tcBorders>
              <w:top w:val="single" w:sz="18" w:space="0" w:color="FFFFFF"/>
              <w:left w:val="single" w:sz="18" w:space="0" w:color="FFFFFF"/>
              <w:bottom w:val="single" w:sz="18" w:space="0" w:color="FFFFFF"/>
              <w:right w:val="nil"/>
            </w:tcBorders>
            <w:shd w:val="clear" w:color="auto" w:fill="CCCCCC"/>
          </w:tcPr>
          <w:p w:rsidR="00125BD5" w:rsidRDefault="00125BD5" w:rsidP="00CD19E2">
            <w:pPr>
              <w:spacing w:line="240" w:lineRule="auto"/>
            </w:pPr>
            <w:r>
              <w:t xml:space="preserve">Dorner TE, Grabovac I, Mogg C, Oberndorfer M, Haider S: Frailty as predictor for all-cause and cause-specific mortality: 11-year follow-up cohort study. </w:t>
            </w:r>
            <w:r w:rsidR="00CD19E2">
              <w:t xml:space="preserve"> Eur J Publ Health, 2019;29(Suppl 4): 359. DOI: 10.1093/eurpub/ckz 187.166</w:t>
            </w:r>
            <w:r>
              <w:t xml:space="preserve"> </w:t>
            </w:r>
          </w:p>
        </w:tc>
      </w:tr>
      <w:tr w:rsidR="003745BF"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3745BF" w:rsidRDefault="003745BF" w:rsidP="00F73EA9">
            <w:pPr>
              <w:spacing w:line="240" w:lineRule="auto"/>
              <w:rPr>
                <w:rFonts w:ascii="Tw Cen MT" w:eastAsia="Tw Cen MT" w:hAnsi="Tw Cen MT" w:cs="Tw Cen MT"/>
                <w:sz w:val="24"/>
              </w:rPr>
            </w:pPr>
            <w:r>
              <w:rPr>
                <w:rFonts w:ascii="Tw Cen MT" w:eastAsia="Tw Cen MT" w:hAnsi="Tw Cen MT" w:cs="Tw Cen MT"/>
                <w:sz w:val="24"/>
              </w:rPr>
              <w:t>2019.54</w:t>
            </w:r>
          </w:p>
        </w:tc>
        <w:tc>
          <w:tcPr>
            <w:tcW w:w="8123" w:type="dxa"/>
            <w:tcBorders>
              <w:top w:val="single" w:sz="18" w:space="0" w:color="FFFFFF"/>
              <w:left w:val="single" w:sz="18" w:space="0" w:color="FFFFFF"/>
              <w:bottom w:val="single" w:sz="18" w:space="0" w:color="FFFFFF"/>
              <w:right w:val="nil"/>
            </w:tcBorders>
            <w:shd w:val="clear" w:color="auto" w:fill="CCCCCC"/>
          </w:tcPr>
          <w:p w:rsidR="003745BF" w:rsidRDefault="00BD4C24" w:rsidP="000F2CEF">
            <w:pPr>
              <w:spacing w:line="240" w:lineRule="auto"/>
            </w:pPr>
            <w:r>
              <w:t xml:space="preserve">Till </w:t>
            </w:r>
            <w:r w:rsidRPr="00BD4C24">
              <w:t>B</w:t>
            </w:r>
            <w:r>
              <w:t>, Arendt</w:t>
            </w:r>
            <w:r w:rsidRPr="00BD4C24">
              <w:t xml:space="preserve"> F, Scherr S</w:t>
            </w:r>
            <w:r>
              <w:t xml:space="preserve">, </w:t>
            </w:r>
            <w:r w:rsidRPr="00BD4C24">
              <w:t xml:space="preserve"> Niederkrotenthaler</w:t>
            </w:r>
            <w:r>
              <w:t xml:space="preserve"> T: </w:t>
            </w:r>
            <w:r w:rsidRPr="00BD4C24">
              <w:t xml:space="preserve"> Effect of educative suicide prevention news articles featuring experts with vs without personal experience of suicidal ideation: A randomized controlled trial of the Papageno effect. Journal of Clinical Psychiatry, </w:t>
            </w:r>
            <w:r>
              <w:t>2019;</w:t>
            </w:r>
            <w:r w:rsidRPr="00BD4C24">
              <w:t>80(1), 17m1</w:t>
            </w:r>
            <w:r>
              <w:t>1975. doi: 10.4088/JCP.17m11975</w:t>
            </w:r>
          </w:p>
        </w:tc>
      </w:tr>
      <w:tr w:rsidR="006D07AD"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6D07AD" w:rsidRDefault="006D07AD" w:rsidP="00F73EA9">
            <w:pPr>
              <w:spacing w:line="240" w:lineRule="auto"/>
              <w:rPr>
                <w:rFonts w:ascii="Tw Cen MT" w:eastAsia="Tw Cen MT" w:hAnsi="Tw Cen MT" w:cs="Tw Cen MT"/>
                <w:sz w:val="24"/>
              </w:rPr>
            </w:pPr>
            <w:r>
              <w:rPr>
                <w:rFonts w:ascii="Tw Cen MT" w:eastAsia="Tw Cen MT" w:hAnsi="Tw Cen MT" w:cs="Tw Cen MT"/>
                <w:sz w:val="24"/>
              </w:rPr>
              <w:t>2019.55</w:t>
            </w:r>
          </w:p>
        </w:tc>
        <w:tc>
          <w:tcPr>
            <w:tcW w:w="8123" w:type="dxa"/>
            <w:tcBorders>
              <w:top w:val="single" w:sz="18" w:space="0" w:color="FFFFFF"/>
              <w:left w:val="single" w:sz="18" w:space="0" w:color="FFFFFF"/>
              <w:bottom w:val="single" w:sz="18" w:space="0" w:color="FFFFFF"/>
              <w:right w:val="nil"/>
            </w:tcBorders>
            <w:shd w:val="clear" w:color="auto" w:fill="CCCCCC"/>
          </w:tcPr>
          <w:p w:rsidR="006D07AD" w:rsidRDefault="006D07AD" w:rsidP="000F2CEF">
            <w:r>
              <w:t xml:space="preserve">Till B, Fraissler </w:t>
            </w:r>
            <w:r w:rsidRPr="006D07AD">
              <w:t>M</w:t>
            </w:r>
            <w:r>
              <w:t>, Voracek</w:t>
            </w:r>
            <w:r w:rsidRPr="006D07AD">
              <w:t xml:space="preserve"> M, Tran US</w:t>
            </w:r>
            <w:r>
              <w:t xml:space="preserve">, </w:t>
            </w:r>
            <w:r w:rsidRPr="006D07AD">
              <w:t>Niederkrotenthaler T</w:t>
            </w:r>
            <w:r>
              <w:t>:</w:t>
            </w:r>
            <w:r w:rsidRPr="006D07AD">
              <w:t xml:space="preserve"> Associations between suicide risk factors and favorite songs: Content analysis and cross-sectional study. Crisis – The Journal of Crisis Intervention and Suicide Prevention, </w:t>
            </w:r>
            <w:r w:rsidR="003033B6">
              <w:t>2019;</w:t>
            </w:r>
            <w:r w:rsidRPr="006D07AD">
              <w:t>40(1), 7-14.</w:t>
            </w:r>
            <w:r>
              <w:t xml:space="preserve"> doi: 10.1027/0227-5910/a000523</w:t>
            </w:r>
          </w:p>
        </w:tc>
      </w:tr>
      <w:tr w:rsidR="00FC6240"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FC6240" w:rsidRDefault="00FC6240" w:rsidP="00F73EA9">
            <w:pPr>
              <w:spacing w:line="240" w:lineRule="auto"/>
              <w:rPr>
                <w:rFonts w:ascii="Tw Cen MT" w:eastAsia="Tw Cen MT" w:hAnsi="Tw Cen MT" w:cs="Tw Cen MT"/>
                <w:sz w:val="24"/>
              </w:rPr>
            </w:pPr>
            <w:r>
              <w:rPr>
                <w:rFonts w:ascii="Tw Cen MT" w:eastAsia="Tw Cen MT" w:hAnsi="Tw Cen MT" w:cs="Tw Cen MT"/>
                <w:sz w:val="24"/>
              </w:rPr>
              <w:t>2019.56</w:t>
            </w:r>
          </w:p>
        </w:tc>
        <w:tc>
          <w:tcPr>
            <w:tcW w:w="8123" w:type="dxa"/>
            <w:tcBorders>
              <w:top w:val="single" w:sz="18" w:space="0" w:color="FFFFFF"/>
              <w:left w:val="single" w:sz="18" w:space="0" w:color="FFFFFF"/>
              <w:bottom w:val="single" w:sz="18" w:space="0" w:color="FFFFFF"/>
              <w:right w:val="nil"/>
            </w:tcBorders>
            <w:shd w:val="clear" w:color="auto" w:fill="CCCCCC"/>
          </w:tcPr>
          <w:p w:rsidR="00FC6240" w:rsidRDefault="00FC6240" w:rsidP="00FC6240">
            <w:r w:rsidRPr="00FC6240">
              <w:t>Till B, Vesely C, Mairhofer D, Braun M,  Niederkrotenthaler,T: Reports of adolescent psychiatric outpatients on the impact of the TV series ’13 Reasons Why’: A qualitative study. Journal of Adolescent Health, 2019;64, 414-415. (Letter). doi: 10.1016/j.jadohealth.2018.11.021.</w:t>
            </w:r>
          </w:p>
        </w:tc>
      </w:tr>
      <w:tr w:rsidR="00FC6240"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FC6240" w:rsidRDefault="00FC6240" w:rsidP="00F73EA9">
            <w:pPr>
              <w:spacing w:line="240" w:lineRule="auto"/>
              <w:rPr>
                <w:rFonts w:ascii="Tw Cen MT" w:eastAsia="Tw Cen MT" w:hAnsi="Tw Cen MT" w:cs="Tw Cen MT"/>
                <w:sz w:val="24"/>
              </w:rPr>
            </w:pPr>
            <w:r>
              <w:rPr>
                <w:rFonts w:ascii="Tw Cen MT" w:eastAsia="Tw Cen MT" w:hAnsi="Tw Cen MT" w:cs="Tw Cen MT"/>
                <w:sz w:val="24"/>
              </w:rPr>
              <w:t>2019.57</w:t>
            </w:r>
          </w:p>
        </w:tc>
        <w:tc>
          <w:tcPr>
            <w:tcW w:w="8123" w:type="dxa"/>
            <w:tcBorders>
              <w:top w:val="single" w:sz="18" w:space="0" w:color="FFFFFF"/>
              <w:left w:val="single" w:sz="18" w:space="0" w:color="FFFFFF"/>
              <w:bottom w:val="single" w:sz="18" w:space="0" w:color="FFFFFF"/>
              <w:right w:val="nil"/>
            </w:tcBorders>
            <w:shd w:val="clear" w:color="auto" w:fill="CCCCCC"/>
          </w:tcPr>
          <w:p w:rsidR="00FC6240" w:rsidRPr="00FC6240" w:rsidRDefault="00FC6240" w:rsidP="00FC6240">
            <w:r w:rsidRPr="00FC6240">
              <w:t>Niederkrotenthaler T</w:t>
            </w:r>
            <w:r>
              <w:t xml:space="preserve">, </w:t>
            </w:r>
            <w:r w:rsidRPr="00FC6240">
              <w:t xml:space="preserve"> Till</w:t>
            </w:r>
            <w:r>
              <w:t xml:space="preserve"> B: </w:t>
            </w:r>
            <w:r w:rsidRPr="00FC6240">
              <w:t xml:space="preserve"> Suicide and the media: From Werther to Papageno effects – A selective literature review. Suicidologi, </w:t>
            </w:r>
            <w:r>
              <w:t>2019;</w:t>
            </w:r>
            <w:r w:rsidRPr="00FC6240">
              <w:t>24</w:t>
            </w:r>
            <w:r>
              <w:t>(2), 4-12</w:t>
            </w:r>
          </w:p>
        </w:tc>
      </w:tr>
      <w:tr w:rsidR="000F7F0F"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0F7F0F" w:rsidRDefault="000F7F0F" w:rsidP="00F73EA9">
            <w:pPr>
              <w:spacing w:line="240" w:lineRule="auto"/>
              <w:rPr>
                <w:rFonts w:ascii="Tw Cen MT" w:eastAsia="Tw Cen MT" w:hAnsi="Tw Cen MT" w:cs="Tw Cen MT"/>
                <w:sz w:val="24"/>
              </w:rPr>
            </w:pPr>
            <w:r>
              <w:rPr>
                <w:rFonts w:ascii="Tw Cen MT" w:eastAsia="Tw Cen MT" w:hAnsi="Tw Cen MT" w:cs="Tw Cen MT"/>
                <w:sz w:val="24"/>
              </w:rPr>
              <w:t>2019.58</w:t>
            </w:r>
          </w:p>
        </w:tc>
        <w:tc>
          <w:tcPr>
            <w:tcW w:w="8123" w:type="dxa"/>
            <w:tcBorders>
              <w:top w:val="single" w:sz="18" w:space="0" w:color="FFFFFF"/>
              <w:left w:val="single" w:sz="18" w:space="0" w:color="FFFFFF"/>
              <w:bottom w:val="single" w:sz="18" w:space="0" w:color="FFFFFF"/>
              <w:right w:val="nil"/>
            </w:tcBorders>
            <w:shd w:val="clear" w:color="auto" w:fill="CCCCCC"/>
          </w:tcPr>
          <w:p w:rsidR="000F7F0F" w:rsidRPr="00FC6240" w:rsidRDefault="000F7F0F" w:rsidP="000F7F0F">
            <w:r w:rsidRPr="000F7F0F">
              <w:t>Niederkrotenthaler T, Stack S, Till B, Sinyor M, Pirkis J, Garcia D, Rockett I</w:t>
            </w:r>
            <w:r>
              <w:t xml:space="preserve">RH, </w:t>
            </w:r>
            <w:r w:rsidRPr="000F7F0F">
              <w:t>Tran U</w:t>
            </w:r>
            <w:r>
              <w:t xml:space="preserve">S: </w:t>
            </w:r>
            <w:r w:rsidRPr="000F7F0F">
              <w:t xml:space="preserve"> Association of increased youth suicides in the United States with the release of 13 Reasons Why. JAMA Psychiatry, </w:t>
            </w:r>
            <w:r>
              <w:t>2019;</w:t>
            </w:r>
            <w:r w:rsidRPr="000F7F0F">
              <w:t>76(9), 933-940. doi: 10.1001/jamapsychiatry.2019.0922</w:t>
            </w:r>
            <w:r w:rsidRPr="00FC6240">
              <w:t xml:space="preserve"> </w:t>
            </w:r>
          </w:p>
        </w:tc>
      </w:tr>
      <w:tr w:rsidR="006562E9"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6562E9" w:rsidRDefault="006562E9" w:rsidP="00F73EA9">
            <w:pPr>
              <w:spacing w:line="240" w:lineRule="auto"/>
              <w:rPr>
                <w:rFonts w:ascii="Tw Cen MT" w:eastAsia="Tw Cen MT" w:hAnsi="Tw Cen MT" w:cs="Tw Cen MT"/>
                <w:sz w:val="24"/>
              </w:rPr>
            </w:pPr>
            <w:r>
              <w:rPr>
                <w:rFonts w:ascii="Tw Cen MT" w:eastAsia="Tw Cen MT" w:hAnsi="Tw Cen MT" w:cs="Tw Cen MT"/>
                <w:sz w:val="24"/>
              </w:rPr>
              <w:t>2019.59</w:t>
            </w:r>
          </w:p>
        </w:tc>
        <w:tc>
          <w:tcPr>
            <w:tcW w:w="8123" w:type="dxa"/>
            <w:tcBorders>
              <w:top w:val="single" w:sz="18" w:space="0" w:color="FFFFFF"/>
              <w:left w:val="single" w:sz="18" w:space="0" w:color="FFFFFF"/>
              <w:bottom w:val="single" w:sz="18" w:space="0" w:color="FFFFFF"/>
              <w:right w:val="nil"/>
            </w:tcBorders>
            <w:shd w:val="clear" w:color="auto" w:fill="CCCCCC"/>
          </w:tcPr>
          <w:p w:rsidR="006562E9" w:rsidRPr="000F7F0F" w:rsidRDefault="0073080F" w:rsidP="0073080F">
            <w:r>
              <w:t xml:space="preserve">Niederkrotenthaler </w:t>
            </w:r>
            <w:r w:rsidRPr="0073080F">
              <w:t>T</w:t>
            </w:r>
            <w:r>
              <w:t>, Till</w:t>
            </w:r>
            <w:r w:rsidRPr="0073080F">
              <w:t xml:space="preserve"> B</w:t>
            </w:r>
            <w:r>
              <w:t>:</w:t>
            </w:r>
            <w:r w:rsidRPr="0073080F">
              <w:t xml:space="preserve"> Types of stressors on non-professional against-suicide and pro-suicide message boards: content analysis. Crisis – The Journal of Crisis Intervention and Suicide Prevention, </w:t>
            </w:r>
            <w:r>
              <w:t>2019;</w:t>
            </w:r>
            <w:r w:rsidRPr="0073080F">
              <w:t>40(4), 257-264. doi: 10.1027/0227-5910/a000562</w:t>
            </w:r>
          </w:p>
        </w:tc>
      </w:tr>
      <w:tr w:rsidR="000C3662"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0C3662" w:rsidRDefault="000C3662" w:rsidP="00F73EA9">
            <w:pPr>
              <w:spacing w:line="240" w:lineRule="auto"/>
              <w:rPr>
                <w:rFonts w:ascii="Tw Cen MT" w:eastAsia="Tw Cen MT" w:hAnsi="Tw Cen MT" w:cs="Tw Cen MT"/>
                <w:sz w:val="24"/>
              </w:rPr>
            </w:pPr>
            <w:r>
              <w:rPr>
                <w:rFonts w:ascii="Tw Cen MT" w:eastAsia="Tw Cen MT" w:hAnsi="Tw Cen MT" w:cs="Tw Cen MT"/>
                <w:sz w:val="24"/>
              </w:rPr>
              <w:t>2019.60</w:t>
            </w:r>
          </w:p>
        </w:tc>
        <w:tc>
          <w:tcPr>
            <w:tcW w:w="8123" w:type="dxa"/>
            <w:tcBorders>
              <w:top w:val="single" w:sz="18" w:space="0" w:color="FFFFFF"/>
              <w:left w:val="single" w:sz="18" w:space="0" w:color="FFFFFF"/>
              <w:bottom w:val="single" w:sz="18" w:space="0" w:color="FFFFFF"/>
              <w:right w:val="nil"/>
            </w:tcBorders>
            <w:shd w:val="clear" w:color="auto" w:fill="CCCCCC"/>
          </w:tcPr>
          <w:p w:rsidR="000C3662" w:rsidRDefault="000C3662" w:rsidP="000C3662">
            <w:r w:rsidRPr="000C3662">
              <w:t>Van den Nest M, Till B</w:t>
            </w:r>
            <w:r>
              <w:t>,</w:t>
            </w:r>
            <w:r w:rsidRPr="000C3662">
              <w:t xml:space="preserve"> Niederkrotenthaler T</w:t>
            </w:r>
            <w:r>
              <w:t>:</w:t>
            </w:r>
            <w:r w:rsidRPr="000C3662">
              <w:t xml:space="preserve"> Comparing indicators of suicidality among users in different types of nonprofessional suicide message boards: A linguistic analysis. Crisis – The Journal of Crisis Intervention and Suicide Prevention, </w:t>
            </w:r>
            <w:r>
              <w:t>2019;</w:t>
            </w:r>
            <w:r w:rsidRPr="000C3662">
              <w:t>40</w:t>
            </w:r>
            <w:r>
              <w:t>(2), 125-133</w:t>
            </w:r>
            <w:r w:rsidRPr="000C3662">
              <w:t xml:space="preserve"> doi: 10.1027/0227-5910/a000540</w:t>
            </w:r>
          </w:p>
        </w:tc>
      </w:tr>
      <w:tr w:rsidR="003C03DD"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3C03DD" w:rsidRDefault="003C03DD" w:rsidP="00F73EA9">
            <w:pPr>
              <w:spacing w:line="240" w:lineRule="auto"/>
              <w:rPr>
                <w:rFonts w:ascii="Tw Cen MT" w:eastAsia="Tw Cen MT" w:hAnsi="Tw Cen MT" w:cs="Tw Cen MT"/>
                <w:sz w:val="24"/>
              </w:rPr>
            </w:pPr>
            <w:r>
              <w:rPr>
                <w:rFonts w:ascii="Tw Cen MT" w:eastAsia="Tw Cen MT" w:hAnsi="Tw Cen MT" w:cs="Tw Cen MT"/>
                <w:sz w:val="24"/>
              </w:rPr>
              <w:t>2019.61</w:t>
            </w:r>
          </w:p>
        </w:tc>
        <w:tc>
          <w:tcPr>
            <w:tcW w:w="8123" w:type="dxa"/>
            <w:tcBorders>
              <w:top w:val="single" w:sz="18" w:space="0" w:color="FFFFFF"/>
              <w:left w:val="single" w:sz="18" w:space="0" w:color="FFFFFF"/>
              <w:bottom w:val="single" w:sz="18" w:space="0" w:color="FFFFFF"/>
              <w:right w:val="nil"/>
            </w:tcBorders>
            <w:shd w:val="clear" w:color="auto" w:fill="CCCCCC"/>
          </w:tcPr>
          <w:p w:rsidR="003C03DD" w:rsidRPr="000C3662" w:rsidRDefault="003C03DD" w:rsidP="003C03DD">
            <w:r w:rsidRPr="003C03DD">
              <w:t>Niederkrotenthaler T, Till B, Garcia D: Celebrity suicide on Twitter: Activity, content and network analysis related to the death of Swedish DJ Tim Bergling alias Avicii. Journal of Affective Disorders, 2019;245:848-855. doi: 10.1016/j.jad.2018.11.071</w:t>
            </w:r>
          </w:p>
        </w:tc>
      </w:tr>
      <w:tr w:rsidR="006D5110"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6D5110" w:rsidRDefault="006D5110" w:rsidP="00F73EA9">
            <w:pPr>
              <w:spacing w:line="240" w:lineRule="auto"/>
              <w:rPr>
                <w:rFonts w:ascii="Tw Cen MT" w:eastAsia="Tw Cen MT" w:hAnsi="Tw Cen MT" w:cs="Tw Cen MT"/>
                <w:sz w:val="24"/>
              </w:rPr>
            </w:pPr>
            <w:r>
              <w:rPr>
                <w:rFonts w:ascii="Tw Cen MT" w:eastAsia="Tw Cen MT" w:hAnsi="Tw Cen MT" w:cs="Tw Cen MT"/>
                <w:sz w:val="24"/>
              </w:rPr>
              <w:t>2019.62</w:t>
            </w:r>
          </w:p>
        </w:tc>
        <w:tc>
          <w:tcPr>
            <w:tcW w:w="8123" w:type="dxa"/>
            <w:tcBorders>
              <w:top w:val="single" w:sz="18" w:space="0" w:color="FFFFFF"/>
              <w:left w:val="single" w:sz="18" w:space="0" w:color="FFFFFF"/>
              <w:bottom w:val="single" w:sz="18" w:space="0" w:color="FFFFFF"/>
              <w:right w:val="nil"/>
            </w:tcBorders>
            <w:shd w:val="clear" w:color="auto" w:fill="CCCCCC"/>
          </w:tcPr>
          <w:p w:rsidR="006D5110" w:rsidRPr="003C03DD" w:rsidRDefault="00F92C17" w:rsidP="000F2CEF">
            <w:r w:rsidRPr="00F92C17">
              <w:t>Niederkrotenthaler T, Till B: Tote Mädchen lügen nicht. CliniCum neuropsy, 2019:4, 20</w:t>
            </w:r>
          </w:p>
        </w:tc>
      </w:tr>
      <w:tr w:rsidR="00F92C17"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F92C17" w:rsidRDefault="00F92C17" w:rsidP="00F73EA9">
            <w:pPr>
              <w:spacing w:line="240" w:lineRule="auto"/>
              <w:rPr>
                <w:rFonts w:ascii="Tw Cen MT" w:eastAsia="Tw Cen MT" w:hAnsi="Tw Cen MT" w:cs="Tw Cen MT"/>
                <w:sz w:val="24"/>
              </w:rPr>
            </w:pPr>
            <w:r>
              <w:rPr>
                <w:rFonts w:ascii="Tw Cen MT" w:eastAsia="Tw Cen MT" w:hAnsi="Tw Cen MT" w:cs="Tw Cen MT"/>
                <w:sz w:val="24"/>
              </w:rPr>
              <w:t>2019.63</w:t>
            </w:r>
          </w:p>
        </w:tc>
        <w:tc>
          <w:tcPr>
            <w:tcW w:w="8123" w:type="dxa"/>
            <w:tcBorders>
              <w:top w:val="single" w:sz="18" w:space="0" w:color="FFFFFF"/>
              <w:left w:val="single" w:sz="18" w:space="0" w:color="FFFFFF"/>
              <w:bottom w:val="single" w:sz="18" w:space="0" w:color="FFFFFF"/>
              <w:right w:val="nil"/>
            </w:tcBorders>
            <w:shd w:val="clear" w:color="auto" w:fill="CCCCCC"/>
          </w:tcPr>
          <w:p w:rsidR="00F92C17" w:rsidRPr="00F92C17" w:rsidRDefault="00F92C17" w:rsidP="00F92C17">
            <w:r w:rsidRPr="00F92C17">
              <w:t>Niederkrotenthaler T</w:t>
            </w:r>
            <w:r>
              <w:t xml:space="preserve">, </w:t>
            </w:r>
            <w:r w:rsidRPr="00F92C17">
              <w:t>Till B</w:t>
            </w:r>
            <w:r>
              <w:t>:</w:t>
            </w:r>
            <w:r w:rsidRPr="00F92C17">
              <w:t xml:space="preserve"> „Tote Mädchen lügen nicht“: Studienergebnisse zeigen Anstieg an Suiziden unter Jugendlichen in den Vereinigten Staaten. Suizidprophylaxe, </w:t>
            </w:r>
            <w:r>
              <w:t>2019;</w:t>
            </w:r>
            <w:r w:rsidRPr="00F92C17">
              <w:t>46(3), 112-113. (Bericht</w:t>
            </w:r>
            <w:r>
              <w:rPr>
                <w:color w:val="1F497D"/>
                <w:lang w:val="de-DE"/>
              </w:rPr>
              <w:t>)</w:t>
            </w:r>
          </w:p>
        </w:tc>
      </w:tr>
      <w:tr w:rsidR="002E7F1B"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2E7F1B" w:rsidRDefault="002E7F1B" w:rsidP="00F73EA9">
            <w:pPr>
              <w:spacing w:line="240" w:lineRule="auto"/>
              <w:rPr>
                <w:rFonts w:ascii="Tw Cen MT" w:eastAsia="Tw Cen MT" w:hAnsi="Tw Cen MT" w:cs="Tw Cen MT"/>
                <w:sz w:val="24"/>
              </w:rPr>
            </w:pPr>
            <w:r>
              <w:rPr>
                <w:rFonts w:ascii="Tw Cen MT" w:eastAsia="Tw Cen MT" w:hAnsi="Tw Cen MT" w:cs="Tw Cen MT"/>
                <w:sz w:val="24"/>
              </w:rPr>
              <w:t>2019.64</w:t>
            </w:r>
          </w:p>
        </w:tc>
        <w:tc>
          <w:tcPr>
            <w:tcW w:w="8123" w:type="dxa"/>
            <w:tcBorders>
              <w:top w:val="single" w:sz="18" w:space="0" w:color="FFFFFF"/>
              <w:left w:val="single" w:sz="18" w:space="0" w:color="FFFFFF"/>
              <w:bottom w:val="single" w:sz="18" w:space="0" w:color="FFFFFF"/>
              <w:right w:val="nil"/>
            </w:tcBorders>
            <w:shd w:val="clear" w:color="auto" w:fill="CCCCCC"/>
          </w:tcPr>
          <w:p w:rsidR="002E7F1B" w:rsidRPr="00F92C17" w:rsidRDefault="002E7F1B" w:rsidP="00386243">
            <w:r>
              <w:t>Grabovac I, Haider S, Mogg C, Majewska B, Drgac D, Oberndorfer M, Dorner TE: Frailty Status Predicts ll-Cause and Cause-Specific Mortality in Community Dwelling Older Adults</w:t>
            </w:r>
            <w:r w:rsidR="00386243">
              <w:t xml:space="preserve">: An 11-Year Follow Up Study of the Survey  of Health, Aging and Retirement in Europe. </w:t>
            </w:r>
            <w:r>
              <w:t xml:space="preserve"> J</w:t>
            </w:r>
            <w:r w:rsidR="00386243">
              <w:t xml:space="preserve"> Am Med Dir Assoc., 2019;20(10)</w:t>
            </w:r>
            <w:r>
              <w:t>:1230-1235</w:t>
            </w:r>
            <w:r w:rsidR="00386243">
              <w:t>.e2. DOI:10.1016/j.jamda.2019.06.007</w:t>
            </w:r>
          </w:p>
        </w:tc>
      </w:tr>
      <w:tr w:rsidR="00E40D0B"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E40D0B" w:rsidRDefault="00E40D0B" w:rsidP="00F73EA9">
            <w:pPr>
              <w:spacing w:line="240" w:lineRule="auto"/>
              <w:rPr>
                <w:rFonts w:ascii="Tw Cen MT" w:eastAsia="Tw Cen MT" w:hAnsi="Tw Cen MT" w:cs="Tw Cen MT"/>
                <w:sz w:val="24"/>
              </w:rPr>
            </w:pPr>
            <w:r>
              <w:rPr>
                <w:rFonts w:ascii="Tw Cen MT" w:eastAsia="Tw Cen MT" w:hAnsi="Tw Cen MT" w:cs="Tw Cen MT"/>
                <w:sz w:val="24"/>
              </w:rPr>
              <w:lastRenderedPageBreak/>
              <w:t>2019.65</w:t>
            </w:r>
          </w:p>
        </w:tc>
        <w:tc>
          <w:tcPr>
            <w:tcW w:w="8123" w:type="dxa"/>
            <w:tcBorders>
              <w:top w:val="single" w:sz="18" w:space="0" w:color="FFFFFF"/>
              <w:left w:val="single" w:sz="18" w:space="0" w:color="FFFFFF"/>
              <w:bottom w:val="single" w:sz="18" w:space="0" w:color="FFFFFF"/>
              <w:right w:val="nil"/>
            </w:tcBorders>
            <w:shd w:val="clear" w:color="auto" w:fill="CCCCCC"/>
          </w:tcPr>
          <w:p w:rsidR="00E40D0B" w:rsidRDefault="00E40D0B" w:rsidP="002E7F1B">
            <w:r>
              <w:t>Niederkrotenthaler T: 7. Papageno Effect: Its Progress in Media Research. Reducing the Toll of Suicide:113-22</w:t>
            </w:r>
          </w:p>
        </w:tc>
      </w:tr>
      <w:tr w:rsidR="005A35D4"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5A35D4" w:rsidRDefault="005A35D4" w:rsidP="00F73EA9">
            <w:pPr>
              <w:spacing w:line="240" w:lineRule="auto"/>
              <w:rPr>
                <w:rFonts w:ascii="Tw Cen MT" w:eastAsia="Tw Cen MT" w:hAnsi="Tw Cen MT" w:cs="Tw Cen MT"/>
                <w:sz w:val="24"/>
              </w:rPr>
            </w:pPr>
            <w:r>
              <w:rPr>
                <w:rFonts w:ascii="Tw Cen MT" w:eastAsia="Tw Cen MT" w:hAnsi="Tw Cen MT" w:cs="Tw Cen MT"/>
                <w:sz w:val="24"/>
              </w:rPr>
              <w:t>2019.66</w:t>
            </w:r>
          </w:p>
        </w:tc>
        <w:tc>
          <w:tcPr>
            <w:tcW w:w="8123" w:type="dxa"/>
            <w:tcBorders>
              <w:top w:val="single" w:sz="18" w:space="0" w:color="FFFFFF"/>
              <w:left w:val="single" w:sz="18" w:space="0" w:color="FFFFFF"/>
              <w:bottom w:val="single" w:sz="18" w:space="0" w:color="FFFFFF"/>
              <w:right w:val="nil"/>
            </w:tcBorders>
            <w:shd w:val="clear" w:color="auto" w:fill="CCCCCC"/>
          </w:tcPr>
          <w:p w:rsidR="005A35D4" w:rsidRDefault="005A35D4" w:rsidP="005A35D4">
            <w:r>
              <w:t>Helgesson M, Wang M, Niederkrotenthaler T, Saboonchi F, Mittendorfer-Rutz E: Labour market marginalisation among refugees from different countries ob birth: a prospective cohort study on refugees to Sweden. J.Epidemiol Community Health, 2019;73:407-415. DOI: 10.1136/jech-2018-211177</w:t>
            </w:r>
          </w:p>
        </w:tc>
      </w:tr>
      <w:tr w:rsidR="00A822C1"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A822C1" w:rsidRDefault="00A822C1" w:rsidP="00F73EA9">
            <w:pPr>
              <w:spacing w:line="240" w:lineRule="auto"/>
              <w:rPr>
                <w:rFonts w:ascii="Tw Cen MT" w:eastAsia="Tw Cen MT" w:hAnsi="Tw Cen MT" w:cs="Tw Cen MT"/>
                <w:sz w:val="24"/>
              </w:rPr>
            </w:pPr>
            <w:r>
              <w:rPr>
                <w:rFonts w:ascii="Tw Cen MT" w:eastAsia="Tw Cen MT" w:hAnsi="Tw Cen MT" w:cs="Tw Cen MT"/>
                <w:sz w:val="24"/>
              </w:rPr>
              <w:t>2019.67</w:t>
            </w:r>
          </w:p>
        </w:tc>
        <w:tc>
          <w:tcPr>
            <w:tcW w:w="8123" w:type="dxa"/>
            <w:tcBorders>
              <w:top w:val="single" w:sz="18" w:space="0" w:color="FFFFFF"/>
              <w:left w:val="single" w:sz="18" w:space="0" w:color="FFFFFF"/>
              <w:bottom w:val="single" w:sz="18" w:space="0" w:color="FFFFFF"/>
              <w:right w:val="nil"/>
            </w:tcBorders>
            <w:shd w:val="clear" w:color="auto" w:fill="CCCCCC"/>
          </w:tcPr>
          <w:p w:rsidR="00A822C1" w:rsidRDefault="00A822C1" w:rsidP="005A35D4">
            <w:r>
              <w:t>Armstrong G, Vijayakumar L, Pirkis J, Jayaseelan M, Cherian A, Brandt Soerensen J, Arya V, Niederkrotenthaler T: Mass media representation of suicide in high suicide state in India: an epidemiological comparison with suicide deaths in the population. BMJ Open 2019;9</w:t>
            </w:r>
            <w:r w:rsidR="007A2860">
              <w:t>(7)</w:t>
            </w:r>
            <w:r>
              <w:t>:e030836. DOI: 10.1136/bmjopen-2019-030836</w:t>
            </w:r>
          </w:p>
        </w:tc>
      </w:tr>
      <w:tr w:rsidR="00A74034"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A74034" w:rsidRDefault="00A74034" w:rsidP="00F73EA9">
            <w:pPr>
              <w:spacing w:line="240" w:lineRule="auto"/>
              <w:rPr>
                <w:rFonts w:ascii="Tw Cen MT" w:eastAsia="Tw Cen MT" w:hAnsi="Tw Cen MT" w:cs="Tw Cen MT"/>
                <w:sz w:val="24"/>
              </w:rPr>
            </w:pPr>
            <w:r>
              <w:rPr>
                <w:rFonts w:ascii="Tw Cen MT" w:eastAsia="Tw Cen MT" w:hAnsi="Tw Cen MT" w:cs="Tw Cen MT"/>
                <w:sz w:val="24"/>
              </w:rPr>
              <w:t>2019.68</w:t>
            </w:r>
          </w:p>
        </w:tc>
        <w:tc>
          <w:tcPr>
            <w:tcW w:w="8123" w:type="dxa"/>
            <w:tcBorders>
              <w:top w:val="single" w:sz="18" w:space="0" w:color="FFFFFF"/>
              <w:left w:val="single" w:sz="18" w:space="0" w:color="FFFFFF"/>
              <w:bottom w:val="single" w:sz="18" w:space="0" w:color="FFFFFF"/>
              <w:right w:val="nil"/>
            </w:tcBorders>
            <w:shd w:val="clear" w:color="auto" w:fill="CCCCCC"/>
          </w:tcPr>
          <w:p w:rsidR="00A74034" w:rsidRDefault="00A74034" w:rsidP="00B3777F">
            <w:r>
              <w:t>Sinyor M, Williams M, Niederkrotenthaler T: Media depictions of possible suicide contagion among celebrities: A cause for concern and potential opportunities for prevention. Australian &amp; New Zealand Journal of Psychiatry, 2019;53(8):735</w:t>
            </w:r>
            <w:r w:rsidR="00B3777F">
              <w:t>-</w:t>
            </w:r>
            <w:r>
              <w:t>8</w:t>
            </w:r>
          </w:p>
        </w:tc>
      </w:tr>
      <w:tr w:rsidR="00A74034"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A74034" w:rsidRDefault="00A74034" w:rsidP="00F73EA9">
            <w:pPr>
              <w:spacing w:line="240" w:lineRule="auto"/>
              <w:rPr>
                <w:rFonts w:ascii="Tw Cen MT" w:eastAsia="Tw Cen MT" w:hAnsi="Tw Cen MT" w:cs="Tw Cen MT"/>
                <w:sz w:val="24"/>
              </w:rPr>
            </w:pPr>
            <w:r>
              <w:rPr>
                <w:rFonts w:ascii="Tw Cen MT" w:eastAsia="Tw Cen MT" w:hAnsi="Tw Cen MT" w:cs="Tw Cen MT"/>
                <w:sz w:val="24"/>
              </w:rPr>
              <w:t>2019.69</w:t>
            </w:r>
          </w:p>
        </w:tc>
        <w:tc>
          <w:tcPr>
            <w:tcW w:w="8123" w:type="dxa"/>
            <w:tcBorders>
              <w:top w:val="single" w:sz="18" w:space="0" w:color="FFFFFF"/>
              <w:left w:val="single" w:sz="18" w:space="0" w:color="FFFFFF"/>
              <w:bottom w:val="single" w:sz="18" w:space="0" w:color="FFFFFF"/>
              <w:right w:val="nil"/>
            </w:tcBorders>
            <w:shd w:val="clear" w:color="auto" w:fill="CCCCCC"/>
          </w:tcPr>
          <w:p w:rsidR="00A74034" w:rsidRDefault="00A74034" w:rsidP="00BD5C22">
            <w:r>
              <w:t xml:space="preserve">Oexle N, Niederkrotenthaler T, DeLeo Diego, Emerging trends in suicide prevention research. </w:t>
            </w:r>
            <w:r w:rsidR="00BD5C22">
              <w:t xml:space="preserve">Current Opinion in psychiatry, </w:t>
            </w:r>
            <w:r>
              <w:t xml:space="preserve"> 2019;32(4)</w:t>
            </w:r>
            <w:r w:rsidR="00BD5C22">
              <w:t>:336-41. DOI: 10.1097/yco.0000000000000507</w:t>
            </w:r>
          </w:p>
        </w:tc>
      </w:tr>
      <w:tr w:rsidR="005051E4"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5051E4" w:rsidRDefault="005051E4" w:rsidP="00F73EA9">
            <w:pPr>
              <w:spacing w:line="240" w:lineRule="auto"/>
              <w:rPr>
                <w:rFonts w:ascii="Tw Cen MT" w:eastAsia="Tw Cen MT" w:hAnsi="Tw Cen MT" w:cs="Tw Cen MT"/>
                <w:sz w:val="24"/>
              </w:rPr>
            </w:pPr>
            <w:r>
              <w:rPr>
                <w:rFonts w:ascii="Tw Cen MT" w:eastAsia="Tw Cen MT" w:hAnsi="Tw Cen MT" w:cs="Tw Cen MT"/>
                <w:sz w:val="24"/>
              </w:rPr>
              <w:t>2019.70</w:t>
            </w:r>
          </w:p>
        </w:tc>
        <w:tc>
          <w:tcPr>
            <w:tcW w:w="8123" w:type="dxa"/>
            <w:tcBorders>
              <w:top w:val="single" w:sz="18" w:space="0" w:color="FFFFFF"/>
              <w:left w:val="single" w:sz="18" w:space="0" w:color="FFFFFF"/>
              <w:bottom w:val="single" w:sz="18" w:space="0" w:color="FFFFFF"/>
              <w:right w:val="nil"/>
            </w:tcBorders>
            <w:shd w:val="clear" w:color="auto" w:fill="CCCCCC"/>
          </w:tcPr>
          <w:p w:rsidR="005051E4" w:rsidRDefault="005051E4" w:rsidP="00A74034">
            <w:r>
              <w:t xml:space="preserve">Sinyor M, Williams M, Tran US, Schaffer A, Kurdyak P, Pirkis J, Niederkrotenthaler T: Suicides in Young People in Ontario Following the Release of „13 </w:t>
            </w:r>
            <w:r w:rsidR="0062424E">
              <w:t>Reisens</w:t>
            </w:r>
            <w:r>
              <w:t xml:space="preserve"> Why“. The Canadican Journal of Psychiatry, 2019;64(11)798-804. DOI: 10.1177/0706743719870507</w:t>
            </w:r>
          </w:p>
        </w:tc>
      </w:tr>
      <w:tr w:rsidR="0062424E"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62424E" w:rsidRDefault="0062424E" w:rsidP="00F73EA9">
            <w:pPr>
              <w:spacing w:line="240" w:lineRule="auto"/>
              <w:rPr>
                <w:rFonts w:ascii="Tw Cen MT" w:eastAsia="Tw Cen MT" w:hAnsi="Tw Cen MT" w:cs="Tw Cen MT"/>
                <w:sz w:val="24"/>
              </w:rPr>
            </w:pPr>
            <w:r>
              <w:rPr>
                <w:rFonts w:ascii="Tw Cen MT" w:eastAsia="Tw Cen MT" w:hAnsi="Tw Cen MT" w:cs="Tw Cen MT"/>
                <w:sz w:val="24"/>
              </w:rPr>
              <w:t>2019.71</w:t>
            </w:r>
          </w:p>
        </w:tc>
        <w:tc>
          <w:tcPr>
            <w:tcW w:w="8123" w:type="dxa"/>
            <w:tcBorders>
              <w:top w:val="single" w:sz="18" w:space="0" w:color="FFFFFF"/>
              <w:left w:val="single" w:sz="18" w:space="0" w:color="FFFFFF"/>
              <w:bottom w:val="single" w:sz="18" w:space="0" w:color="FFFFFF"/>
              <w:right w:val="nil"/>
            </w:tcBorders>
            <w:shd w:val="clear" w:color="auto" w:fill="CCCCCC"/>
          </w:tcPr>
          <w:p w:rsidR="0062424E" w:rsidRDefault="0062424E" w:rsidP="0062424E">
            <w:r>
              <w:t xml:space="preserve">Sinyor M, Niederkrotenthaler T, Ackerman J, Bridge J: „13 Reasons Why“: When it comes to suicide, not all ´conversations´ are equal. </w:t>
            </w:r>
            <w:r w:rsidR="003D16B2">
              <w:t>USA Today</w:t>
            </w:r>
          </w:p>
        </w:tc>
      </w:tr>
      <w:tr w:rsidR="009B22C5"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9B22C5" w:rsidRDefault="009B22C5" w:rsidP="00F73EA9">
            <w:pPr>
              <w:spacing w:line="240" w:lineRule="auto"/>
              <w:rPr>
                <w:rFonts w:ascii="Tw Cen MT" w:eastAsia="Tw Cen MT" w:hAnsi="Tw Cen MT" w:cs="Tw Cen MT"/>
                <w:sz w:val="24"/>
              </w:rPr>
            </w:pPr>
            <w:r>
              <w:rPr>
                <w:rFonts w:ascii="Tw Cen MT" w:eastAsia="Tw Cen MT" w:hAnsi="Tw Cen MT" w:cs="Tw Cen MT"/>
                <w:sz w:val="24"/>
              </w:rPr>
              <w:t>2019.72</w:t>
            </w:r>
          </w:p>
        </w:tc>
        <w:tc>
          <w:tcPr>
            <w:tcW w:w="8123" w:type="dxa"/>
            <w:tcBorders>
              <w:top w:val="single" w:sz="18" w:space="0" w:color="FFFFFF"/>
              <w:left w:val="single" w:sz="18" w:space="0" w:color="FFFFFF"/>
              <w:bottom w:val="single" w:sz="18" w:space="0" w:color="FFFFFF"/>
              <w:right w:val="nil"/>
            </w:tcBorders>
            <w:shd w:val="clear" w:color="auto" w:fill="CCCCCC"/>
          </w:tcPr>
          <w:p w:rsidR="009B22C5" w:rsidRDefault="009B22C5" w:rsidP="0062424E">
            <w:r>
              <w:t xml:space="preserve">Yasir Arafat SM, Khan MM, Niederkrotenthaler T, Ueda M, Armstrong G: Assessing the Quality of Media Reporting of Suicide Deaths in Bangladesh Against World Health Organization Guidelines. </w:t>
            </w:r>
            <w:r w:rsidR="00326EAF">
              <w:t>Crisis: The Journal of Crisis Intervention and Suicide Prevention, 2019;May 29</w:t>
            </w:r>
          </w:p>
        </w:tc>
      </w:tr>
      <w:tr w:rsidR="0080044B"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80044B" w:rsidRDefault="0080044B" w:rsidP="00F73EA9">
            <w:pPr>
              <w:spacing w:line="240" w:lineRule="auto"/>
              <w:rPr>
                <w:rFonts w:ascii="Tw Cen MT" w:eastAsia="Tw Cen MT" w:hAnsi="Tw Cen MT" w:cs="Tw Cen MT"/>
                <w:sz w:val="24"/>
              </w:rPr>
            </w:pPr>
            <w:r>
              <w:rPr>
                <w:rFonts w:ascii="Tw Cen MT" w:eastAsia="Tw Cen MT" w:hAnsi="Tw Cen MT" w:cs="Tw Cen MT"/>
                <w:sz w:val="24"/>
              </w:rPr>
              <w:t>2019.73</w:t>
            </w:r>
          </w:p>
        </w:tc>
        <w:tc>
          <w:tcPr>
            <w:tcW w:w="8123" w:type="dxa"/>
            <w:tcBorders>
              <w:top w:val="single" w:sz="18" w:space="0" w:color="FFFFFF"/>
              <w:left w:val="single" w:sz="18" w:space="0" w:color="FFFFFF"/>
              <w:bottom w:val="single" w:sz="18" w:space="0" w:color="FFFFFF"/>
              <w:right w:val="nil"/>
            </w:tcBorders>
            <w:shd w:val="clear" w:color="auto" w:fill="CCCCCC"/>
          </w:tcPr>
          <w:p w:rsidR="00390BF8" w:rsidRDefault="00BC06E6" w:rsidP="00390BF8">
            <w:r>
              <w:t>Niederkrotenthaler T, Till B: Effects of suicide awareness materials on individual with  recent suicidal ideation of attempt: online randomised controlled trial. The British Journal of Psychiatry, 2019:1-8. DOI:10.1192/bjp.2019.259</w:t>
            </w:r>
          </w:p>
        </w:tc>
      </w:tr>
      <w:tr w:rsidR="00BC06E6"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BC06E6" w:rsidRDefault="00BC06E6" w:rsidP="00F73EA9">
            <w:pPr>
              <w:spacing w:line="240" w:lineRule="auto"/>
              <w:rPr>
                <w:rFonts w:ascii="Tw Cen MT" w:eastAsia="Tw Cen MT" w:hAnsi="Tw Cen MT" w:cs="Tw Cen MT"/>
                <w:sz w:val="24"/>
              </w:rPr>
            </w:pPr>
            <w:r>
              <w:rPr>
                <w:rFonts w:ascii="Tw Cen MT" w:eastAsia="Tw Cen MT" w:hAnsi="Tw Cen MT" w:cs="Tw Cen MT"/>
                <w:sz w:val="24"/>
              </w:rPr>
              <w:t>2019.74</w:t>
            </w:r>
          </w:p>
        </w:tc>
        <w:tc>
          <w:tcPr>
            <w:tcW w:w="8123" w:type="dxa"/>
            <w:tcBorders>
              <w:top w:val="single" w:sz="18" w:space="0" w:color="FFFFFF"/>
              <w:left w:val="single" w:sz="18" w:space="0" w:color="FFFFFF"/>
              <w:bottom w:val="single" w:sz="18" w:space="0" w:color="FFFFFF"/>
              <w:right w:val="nil"/>
            </w:tcBorders>
            <w:shd w:val="clear" w:color="auto" w:fill="CCCCCC"/>
          </w:tcPr>
          <w:p w:rsidR="00BC06E6" w:rsidRDefault="00BC06E6" w:rsidP="00BC06E6">
            <w:r>
              <w:t>Sinyor M, Stack S, Niederkrotenthaler T: What the highest rated movie of all time may teach us about portraying suicide in film. Australian &amp; New Zealand Journal of Psychiatry 2019;1-2. DOI: 10.1177/000487419891247</w:t>
            </w:r>
          </w:p>
        </w:tc>
      </w:tr>
      <w:tr w:rsidR="00390BF8"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390BF8" w:rsidRDefault="00390BF8" w:rsidP="00F73EA9">
            <w:pPr>
              <w:spacing w:line="240" w:lineRule="auto"/>
              <w:rPr>
                <w:rFonts w:ascii="Tw Cen MT" w:eastAsia="Tw Cen MT" w:hAnsi="Tw Cen MT" w:cs="Tw Cen MT"/>
                <w:sz w:val="24"/>
              </w:rPr>
            </w:pPr>
            <w:r>
              <w:rPr>
                <w:rFonts w:ascii="Tw Cen MT" w:eastAsia="Tw Cen MT" w:hAnsi="Tw Cen MT" w:cs="Tw Cen MT"/>
                <w:sz w:val="24"/>
              </w:rPr>
              <w:t>2019.75</w:t>
            </w:r>
          </w:p>
        </w:tc>
        <w:tc>
          <w:tcPr>
            <w:tcW w:w="8123" w:type="dxa"/>
            <w:tcBorders>
              <w:top w:val="single" w:sz="18" w:space="0" w:color="FFFFFF"/>
              <w:left w:val="single" w:sz="18" w:space="0" w:color="FFFFFF"/>
              <w:bottom w:val="single" w:sz="18" w:space="0" w:color="FFFFFF"/>
              <w:right w:val="nil"/>
            </w:tcBorders>
            <w:shd w:val="clear" w:color="auto" w:fill="CCCCCC"/>
          </w:tcPr>
          <w:p w:rsidR="00390BF8" w:rsidRDefault="00390BF8" w:rsidP="00572433">
            <w:r>
              <w:t>Niederkrotethaler T; Mittendorfer-Rutz E, Thurner S, Endel G, Klimek P:  Healthcare utilization, psychiatric medication and risk of rehospitalization in suicide-attempting patients</w:t>
            </w:r>
            <w:r w:rsidR="008C3AD8">
              <w:t xml:space="preserve"> w</w:t>
            </w:r>
            <w:r>
              <w:t>ith commom mental disorders. Austr</w:t>
            </w:r>
            <w:r w:rsidR="008C3AD8">
              <w:t>alian</w:t>
            </w:r>
            <w:r>
              <w:t xml:space="preserve"> &amp; New Zealand Journal of Psychiatry</w:t>
            </w:r>
            <w:r w:rsidR="008C3AD8">
              <w:t>, 2019</w:t>
            </w:r>
            <w:r w:rsidR="00572433">
              <w:t xml:space="preserve">;54(4):409-422. </w:t>
            </w:r>
            <w:r w:rsidR="008C3AD8">
              <w:t xml:space="preserve"> DOI: 10.1177/0004867419895112</w:t>
            </w:r>
          </w:p>
        </w:tc>
      </w:tr>
      <w:tr w:rsidR="00D87F30"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D87F30" w:rsidRDefault="00D87F30" w:rsidP="00F73EA9">
            <w:pPr>
              <w:spacing w:line="240" w:lineRule="auto"/>
              <w:rPr>
                <w:rFonts w:ascii="Tw Cen MT" w:eastAsia="Tw Cen MT" w:hAnsi="Tw Cen MT" w:cs="Tw Cen MT"/>
                <w:sz w:val="24"/>
              </w:rPr>
            </w:pPr>
            <w:r>
              <w:rPr>
                <w:rFonts w:ascii="Tw Cen MT" w:eastAsia="Tw Cen MT" w:hAnsi="Tw Cen MT" w:cs="Tw Cen MT"/>
                <w:sz w:val="24"/>
              </w:rPr>
              <w:t>2019.76</w:t>
            </w:r>
          </w:p>
        </w:tc>
        <w:tc>
          <w:tcPr>
            <w:tcW w:w="8123" w:type="dxa"/>
            <w:tcBorders>
              <w:top w:val="single" w:sz="18" w:space="0" w:color="FFFFFF"/>
              <w:left w:val="single" w:sz="18" w:space="0" w:color="FFFFFF"/>
              <w:bottom w:val="single" w:sz="18" w:space="0" w:color="FFFFFF"/>
              <w:right w:val="nil"/>
            </w:tcBorders>
            <w:shd w:val="clear" w:color="auto" w:fill="CCCCCC"/>
          </w:tcPr>
          <w:p w:rsidR="00D87F30" w:rsidRDefault="00D87F30" w:rsidP="00554C08">
            <w:r>
              <w:t xml:space="preserve">Wang M, Vaez M, Dorner TE, Raham SG, Helgesson M, Ivert T, Mittendorfer Rutz E: Sociodemographic, labour market marginalisation and medical characteristics as risk factors for reinfarction and mortality within 1 year after a first acute myocardial infarction: a register-based cohort study of a working age population in Sweden. </w:t>
            </w:r>
            <w:r w:rsidR="004726D2">
              <w:t>BMJ Open, 2019</w:t>
            </w:r>
            <w:r w:rsidR="00554C08">
              <w:t>;18,</w:t>
            </w:r>
            <w:r w:rsidR="004726D2">
              <w:t>9</w:t>
            </w:r>
            <w:r w:rsidR="00554C08">
              <w:t>(12)</w:t>
            </w:r>
            <w:r w:rsidR="004726D2">
              <w:t xml:space="preserve">:e033616. DOI: 10.1136/bmjopen-2019-033616 </w:t>
            </w:r>
          </w:p>
        </w:tc>
      </w:tr>
      <w:tr w:rsidR="005D5757"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5D5757" w:rsidRDefault="005D5757" w:rsidP="00F73EA9">
            <w:pPr>
              <w:spacing w:line="240" w:lineRule="auto"/>
              <w:rPr>
                <w:rFonts w:ascii="Tw Cen MT" w:eastAsia="Tw Cen MT" w:hAnsi="Tw Cen MT" w:cs="Tw Cen MT"/>
                <w:sz w:val="24"/>
              </w:rPr>
            </w:pPr>
            <w:r>
              <w:rPr>
                <w:rFonts w:ascii="Tw Cen MT" w:eastAsia="Tw Cen MT" w:hAnsi="Tw Cen MT" w:cs="Tw Cen MT"/>
                <w:sz w:val="24"/>
              </w:rPr>
              <w:t>2019.77</w:t>
            </w:r>
          </w:p>
        </w:tc>
        <w:tc>
          <w:tcPr>
            <w:tcW w:w="8123" w:type="dxa"/>
            <w:tcBorders>
              <w:top w:val="single" w:sz="18" w:space="0" w:color="FFFFFF"/>
              <w:left w:val="single" w:sz="18" w:space="0" w:color="FFFFFF"/>
              <w:bottom w:val="single" w:sz="18" w:space="0" w:color="FFFFFF"/>
              <w:right w:val="nil"/>
            </w:tcBorders>
            <w:shd w:val="clear" w:color="auto" w:fill="CCCCCC"/>
          </w:tcPr>
          <w:p w:rsidR="005D5757" w:rsidRDefault="005D5757" w:rsidP="005D5757">
            <w:r>
              <w:t>Dorner TE: Sozioökonomischer Status – Bedeutung und Implikation für die Prävention und Gesundheitsförderung. https://doi.org/10.1007/978-3-662-55793-8_24-1</w:t>
            </w:r>
          </w:p>
        </w:tc>
      </w:tr>
      <w:tr w:rsidR="00FA455D"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FA455D" w:rsidRDefault="00FA455D" w:rsidP="00F73EA9">
            <w:pPr>
              <w:spacing w:line="240" w:lineRule="auto"/>
              <w:rPr>
                <w:rFonts w:ascii="Tw Cen MT" w:eastAsia="Tw Cen MT" w:hAnsi="Tw Cen MT" w:cs="Tw Cen MT"/>
                <w:sz w:val="24"/>
              </w:rPr>
            </w:pPr>
            <w:r>
              <w:rPr>
                <w:rFonts w:ascii="Tw Cen MT" w:eastAsia="Tw Cen MT" w:hAnsi="Tw Cen MT" w:cs="Tw Cen MT"/>
                <w:sz w:val="24"/>
              </w:rPr>
              <w:t>2019.78</w:t>
            </w:r>
          </w:p>
        </w:tc>
        <w:tc>
          <w:tcPr>
            <w:tcW w:w="8123" w:type="dxa"/>
            <w:tcBorders>
              <w:top w:val="single" w:sz="18" w:space="0" w:color="FFFFFF"/>
              <w:left w:val="single" w:sz="18" w:space="0" w:color="FFFFFF"/>
              <w:bottom w:val="single" w:sz="18" w:space="0" w:color="FFFFFF"/>
              <w:right w:val="nil"/>
            </w:tcBorders>
            <w:shd w:val="clear" w:color="auto" w:fill="CCCCCC"/>
          </w:tcPr>
          <w:p w:rsidR="00FA455D" w:rsidRDefault="00FA455D" w:rsidP="006A230D">
            <w:pPr>
              <w:pStyle w:val="NurText"/>
            </w:pPr>
            <w:r>
              <w:t>Jeleff M, Lehner L, Giles-Vernick T, Dückers M, Napier D, Jirovsky E, Kutalek R: Vulnerability assessment tools for infectious threats and antimicrobial resistance: a scoping review protocol. BMJ Open 2019;9:e031944. doi:10.1136/bmjopen-2019-031944</w:t>
            </w:r>
          </w:p>
        </w:tc>
      </w:tr>
      <w:tr w:rsidR="00FA455D"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FA455D" w:rsidRDefault="00FA455D" w:rsidP="00F73EA9">
            <w:pPr>
              <w:spacing w:line="240" w:lineRule="auto"/>
              <w:rPr>
                <w:rFonts w:ascii="Tw Cen MT" w:eastAsia="Tw Cen MT" w:hAnsi="Tw Cen MT" w:cs="Tw Cen MT"/>
                <w:sz w:val="24"/>
              </w:rPr>
            </w:pPr>
            <w:r>
              <w:rPr>
                <w:rFonts w:ascii="Tw Cen MT" w:eastAsia="Tw Cen MT" w:hAnsi="Tw Cen MT" w:cs="Tw Cen MT"/>
                <w:sz w:val="24"/>
              </w:rPr>
              <w:lastRenderedPageBreak/>
              <w:t>2019.79</w:t>
            </w:r>
          </w:p>
        </w:tc>
        <w:tc>
          <w:tcPr>
            <w:tcW w:w="8123" w:type="dxa"/>
            <w:tcBorders>
              <w:top w:val="single" w:sz="18" w:space="0" w:color="FFFFFF"/>
              <w:left w:val="single" w:sz="18" w:space="0" w:color="FFFFFF"/>
              <w:bottom w:val="single" w:sz="18" w:space="0" w:color="FFFFFF"/>
              <w:right w:val="nil"/>
            </w:tcBorders>
            <w:shd w:val="clear" w:color="auto" w:fill="CCCCCC"/>
          </w:tcPr>
          <w:p w:rsidR="00FA455D" w:rsidRDefault="00FA455D" w:rsidP="006A230D">
            <w:pPr>
              <w:pStyle w:val="NurText"/>
            </w:pPr>
            <w:r>
              <w:t>Giles-Vernick T, Kutalek R, Napier D, Kaawa-Mafigiri D et al: A new social sciences network for infectious threats. Lancet Infectious Diseases, 2019;</w:t>
            </w:r>
            <w:r w:rsidR="00B126ED">
              <w:t>19(5)</w:t>
            </w:r>
            <w:r>
              <w:t xml:space="preserve">461-3. </w:t>
            </w:r>
            <w:hyperlink r:id="rId7" w:history="1">
              <w:r>
                <w:rPr>
                  <w:rStyle w:val="Hyperlink"/>
                </w:rPr>
                <w:t>https://doi.org/10.1016/S1473-3099(19)30159-8</w:t>
              </w:r>
            </w:hyperlink>
          </w:p>
        </w:tc>
      </w:tr>
      <w:tr w:rsidR="00FA455D"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FA455D" w:rsidRDefault="00FA455D" w:rsidP="00F73EA9">
            <w:pPr>
              <w:spacing w:line="240" w:lineRule="auto"/>
              <w:rPr>
                <w:rFonts w:ascii="Tw Cen MT" w:eastAsia="Tw Cen MT" w:hAnsi="Tw Cen MT" w:cs="Tw Cen MT"/>
                <w:sz w:val="24"/>
              </w:rPr>
            </w:pPr>
            <w:r>
              <w:rPr>
                <w:rFonts w:ascii="Tw Cen MT" w:eastAsia="Tw Cen MT" w:hAnsi="Tw Cen MT" w:cs="Tw Cen MT"/>
                <w:sz w:val="24"/>
              </w:rPr>
              <w:t>2019.80</w:t>
            </w:r>
          </w:p>
        </w:tc>
        <w:tc>
          <w:tcPr>
            <w:tcW w:w="8123" w:type="dxa"/>
            <w:tcBorders>
              <w:top w:val="single" w:sz="18" w:space="0" w:color="FFFFFF"/>
              <w:left w:val="single" w:sz="18" w:space="0" w:color="FFFFFF"/>
              <w:bottom w:val="single" w:sz="18" w:space="0" w:color="FFFFFF"/>
              <w:right w:val="nil"/>
            </w:tcBorders>
            <w:shd w:val="clear" w:color="auto" w:fill="CCCCCC"/>
          </w:tcPr>
          <w:p w:rsidR="00FA455D" w:rsidRDefault="00FA455D" w:rsidP="006A230D">
            <w:pPr>
              <w:pStyle w:val="NurText"/>
            </w:pPr>
            <w:r>
              <w:t xml:space="preserve">Traugott MT, Singh M, Raj DK, Kutalek R: Geophagy in India. A qualitative exploratory study on motivation and perception of female consumers. Transactions of the Royal Society of Tropical Medicine and Health 2019;113(3):123-130, </w:t>
            </w:r>
            <w:hyperlink r:id="rId8" w:history="1">
              <w:r>
                <w:rPr>
                  <w:rStyle w:val="Hyperlink"/>
                </w:rPr>
                <w:t>https://doi.org/10.1093/trstmh/try123</w:t>
              </w:r>
            </w:hyperlink>
          </w:p>
        </w:tc>
      </w:tr>
      <w:tr w:rsidR="00FA455D" w:rsidTr="009F3EC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FA455D" w:rsidRDefault="00FA455D" w:rsidP="00F73EA9">
            <w:pPr>
              <w:spacing w:line="240" w:lineRule="auto"/>
              <w:rPr>
                <w:rFonts w:ascii="Tw Cen MT" w:eastAsia="Tw Cen MT" w:hAnsi="Tw Cen MT" w:cs="Tw Cen MT"/>
                <w:sz w:val="24"/>
              </w:rPr>
            </w:pPr>
            <w:r>
              <w:rPr>
                <w:rFonts w:ascii="Tw Cen MT" w:eastAsia="Tw Cen MT" w:hAnsi="Tw Cen MT" w:cs="Tw Cen MT"/>
                <w:sz w:val="24"/>
              </w:rPr>
              <w:t>2019.81</w:t>
            </w:r>
          </w:p>
        </w:tc>
        <w:tc>
          <w:tcPr>
            <w:tcW w:w="8123" w:type="dxa"/>
            <w:tcBorders>
              <w:top w:val="single" w:sz="18" w:space="0" w:color="FFFFFF"/>
              <w:left w:val="single" w:sz="18" w:space="0" w:color="FFFFFF"/>
              <w:bottom w:val="single" w:sz="18" w:space="0" w:color="FFFFFF"/>
              <w:right w:val="nil"/>
            </w:tcBorders>
            <w:shd w:val="clear" w:color="auto" w:fill="CCCCCC"/>
          </w:tcPr>
          <w:p w:rsidR="00FA455D" w:rsidRDefault="00FA455D" w:rsidP="00FA455D">
            <w:pPr>
              <w:pStyle w:val="NurText"/>
            </w:pPr>
            <w:r>
              <w:t>Wanka A, Wiesböck L, Allex B, Mayrhuber ES, Arnberger A, Eder R, Kutalek R, Wallner P, Hutter HP, Kolland F. 2018. Everday discrimination in the neighbourhood: what a “doing” perspective on age and ethnicity can offer. Ageing and Society, 2019</w:t>
            </w:r>
            <w:proofErr w:type="gramStart"/>
            <w:r>
              <w:t>;39</w:t>
            </w:r>
            <w:proofErr w:type="gramEnd"/>
            <w:r>
              <w:t xml:space="preserve">(9):2133-58. </w:t>
            </w:r>
          </w:p>
          <w:p w:rsidR="00FA455D" w:rsidRDefault="00CD7158" w:rsidP="006A230D">
            <w:hyperlink r:id="rId9" w:history="1">
              <w:r w:rsidR="00FA455D">
                <w:rPr>
                  <w:rStyle w:val="Hyperlink"/>
                </w:rPr>
                <w:t>https://doi.org/10.1017/S0144686X18000466</w:t>
              </w:r>
            </w:hyperlink>
          </w:p>
        </w:tc>
      </w:tr>
      <w:tr w:rsidR="002D7F73"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2D7F73" w:rsidRDefault="002D7F73" w:rsidP="00F73EA9">
            <w:pPr>
              <w:spacing w:line="240" w:lineRule="auto"/>
              <w:rPr>
                <w:rFonts w:ascii="Tw Cen MT" w:eastAsia="Tw Cen MT" w:hAnsi="Tw Cen MT" w:cs="Tw Cen MT"/>
                <w:sz w:val="24"/>
              </w:rPr>
            </w:pPr>
            <w:r>
              <w:rPr>
                <w:rFonts w:ascii="Tw Cen MT" w:eastAsia="Tw Cen MT" w:hAnsi="Tw Cen MT" w:cs="Tw Cen MT"/>
                <w:sz w:val="24"/>
              </w:rPr>
              <w:t>2019.82</w:t>
            </w:r>
          </w:p>
        </w:tc>
        <w:tc>
          <w:tcPr>
            <w:tcW w:w="8123" w:type="dxa"/>
            <w:tcBorders>
              <w:top w:val="single" w:sz="18" w:space="0" w:color="FFFFFF"/>
              <w:left w:val="single" w:sz="18" w:space="0" w:color="FFFFFF"/>
              <w:bottom w:val="single" w:sz="18" w:space="0" w:color="FFFFFF"/>
              <w:right w:val="nil"/>
            </w:tcBorders>
            <w:shd w:val="clear" w:color="auto" w:fill="CCCCCC"/>
          </w:tcPr>
          <w:p w:rsidR="002D7F73" w:rsidRDefault="00955EB6" w:rsidP="006A230D">
            <w:r>
              <w:rPr>
                <w:rFonts w:eastAsia="Times New Roman"/>
              </w:rPr>
              <w:t>Kunze U: Impfresilienz stärken – Mittel und Möglichkeiten. Arzt&amp;Kind, 2019;1:20-22</w:t>
            </w:r>
          </w:p>
        </w:tc>
      </w:tr>
      <w:tr w:rsidR="00A3409D"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A3409D" w:rsidRDefault="00A3409D" w:rsidP="00F73EA9">
            <w:pPr>
              <w:spacing w:line="240" w:lineRule="auto"/>
              <w:rPr>
                <w:rFonts w:ascii="Tw Cen MT" w:eastAsia="Tw Cen MT" w:hAnsi="Tw Cen MT" w:cs="Tw Cen MT"/>
                <w:sz w:val="24"/>
              </w:rPr>
            </w:pPr>
            <w:r>
              <w:rPr>
                <w:rFonts w:ascii="Tw Cen MT" w:eastAsia="Tw Cen MT" w:hAnsi="Tw Cen MT" w:cs="Tw Cen MT"/>
                <w:sz w:val="24"/>
              </w:rPr>
              <w:t>2019.83</w:t>
            </w:r>
          </w:p>
        </w:tc>
        <w:tc>
          <w:tcPr>
            <w:tcW w:w="8123" w:type="dxa"/>
            <w:tcBorders>
              <w:top w:val="single" w:sz="18" w:space="0" w:color="FFFFFF"/>
              <w:left w:val="single" w:sz="18" w:space="0" w:color="FFFFFF"/>
              <w:bottom w:val="single" w:sz="18" w:space="0" w:color="FFFFFF"/>
              <w:right w:val="nil"/>
            </w:tcBorders>
            <w:shd w:val="clear" w:color="auto" w:fill="CCCCCC"/>
          </w:tcPr>
          <w:p w:rsidR="00A3409D" w:rsidRDefault="00A3409D" w:rsidP="00A3409D">
            <w:pPr>
              <w:spacing w:before="100" w:beforeAutospacing="1" w:after="100" w:afterAutospacing="1"/>
              <w:rPr>
                <w:rFonts w:eastAsia="Times New Roman"/>
              </w:rPr>
            </w:pPr>
            <w:r>
              <w:t xml:space="preserve">Burgmann H, Kaser  S, Kautzky-Willer A, Kunze U, Thalhammer F, Toplak H, Wascher T, Wiedermann-Schmidt U, Zwiauer K. Experten Statement: Diabetes mellitus, respiratorische Infekte und Impfen. </w:t>
            </w:r>
            <w:r>
              <w:rPr>
                <w:lang w:val="en-US"/>
              </w:rPr>
              <w:t>MEDahead, März 2019</w:t>
            </w:r>
          </w:p>
        </w:tc>
      </w:tr>
      <w:tr w:rsidR="00A3409D"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A3409D" w:rsidRDefault="00A3409D" w:rsidP="00F73EA9">
            <w:pPr>
              <w:spacing w:line="240" w:lineRule="auto"/>
              <w:rPr>
                <w:rFonts w:ascii="Tw Cen MT" w:eastAsia="Tw Cen MT" w:hAnsi="Tw Cen MT" w:cs="Tw Cen MT"/>
                <w:sz w:val="24"/>
              </w:rPr>
            </w:pPr>
            <w:r>
              <w:rPr>
                <w:rFonts w:ascii="Tw Cen MT" w:eastAsia="Tw Cen MT" w:hAnsi="Tw Cen MT" w:cs="Tw Cen MT"/>
                <w:sz w:val="24"/>
              </w:rPr>
              <w:t>2019.84</w:t>
            </w:r>
          </w:p>
        </w:tc>
        <w:tc>
          <w:tcPr>
            <w:tcW w:w="8123" w:type="dxa"/>
            <w:tcBorders>
              <w:top w:val="single" w:sz="18" w:space="0" w:color="FFFFFF"/>
              <w:left w:val="single" w:sz="18" w:space="0" w:color="FFFFFF"/>
              <w:bottom w:val="single" w:sz="18" w:space="0" w:color="FFFFFF"/>
              <w:right w:val="nil"/>
            </w:tcBorders>
            <w:shd w:val="clear" w:color="auto" w:fill="CCCCCC"/>
          </w:tcPr>
          <w:p w:rsidR="00A3409D" w:rsidRDefault="00B026FA" w:rsidP="00E9629C">
            <w:pPr>
              <w:spacing w:before="100" w:beforeAutospacing="1" w:after="100" w:afterAutospacing="1"/>
            </w:pPr>
            <w:r>
              <w:rPr>
                <w:lang w:val="en-US"/>
              </w:rPr>
              <w:t>K</w:t>
            </w:r>
            <w:r w:rsidR="00A3409D">
              <w:rPr>
                <w:lang w:val="en-US"/>
              </w:rPr>
              <w:t xml:space="preserve">unze U, Böhm G, </w:t>
            </w:r>
            <w:proofErr w:type="gramStart"/>
            <w:r w:rsidR="00A3409D">
              <w:rPr>
                <w:lang w:val="en-US"/>
              </w:rPr>
              <w:t>Prager</w:t>
            </w:r>
            <w:proofErr w:type="gramEnd"/>
            <w:r w:rsidR="00A3409D">
              <w:rPr>
                <w:lang w:val="en-US"/>
              </w:rPr>
              <w:t xml:space="preserve"> B, Groman E: Influenza vaccination in Austria: Persistent resistance and ignorance to influenza prevention and control. </w:t>
            </w:r>
            <w:r w:rsidR="00A3409D">
              <w:t xml:space="preserve">Cent Eur J Public Health, 2019;27 (2): </w:t>
            </w:r>
            <w:r w:rsidR="00E9629C">
              <w:t>127-130</w:t>
            </w:r>
            <w:r w:rsidR="00A3409D">
              <w:t>.  DOI: 10.21101/cejph.a5010</w:t>
            </w:r>
          </w:p>
        </w:tc>
      </w:tr>
      <w:tr w:rsidR="00A3409D"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A3409D" w:rsidRDefault="00A3409D" w:rsidP="00F73EA9">
            <w:pPr>
              <w:spacing w:line="240" w:lineRule="auto"/>
              <w:rPr>
                <w:rFonts w:ascii="Tw Cen MT" w:eastAsia="Tw Cen MT" w:hAnsi="Tw Cen MT" w:cs="Tw Cen MT"/>
                <w:sz w:val="24"/>
              </w:rPr>
            </w:pPr>
            <w:r>
              <w:rPr>
                <w:rFonts w:ascii="Tw Cen MT" w:eastAsia="Tw Cen MT" w:hAnsi="Tw Cen MT" w:cs="Tw Cen MT"/>
                <w:sz w:val="24"/>
              </w:rPr>
              <w:t>2019.85</w:t>
            </w:r>
          </w:p>
        </w:tc>
        <w:tc>
          <w:tcPr>
            <w:tcW w:w="8123" w:type="dxa"/>
            <w:tcBorders>
              <w:top w:val="single" w:sz="18" w:space="0" w:color="FFFFFF"/>
              <w:left w:val="single" w:sz="18" w:space="0" w:color="FFFFFF"/>
              <w:bottom w:val="single" w:sz="18" w:space="0" w:color="FFFFFF"/>
              <w:right w:val="nil"/>
            </w:tcBorders>
            <w:shd w:val="clear" w:color="auto" w:fill="CCCCCC"/>
          </w:tcPr>
          <w:p w:rsidR="00A3409D" w:rsidRDefault="00A3409D" w:rsidP="00A3409D">
            <w:pPr>
              <w:spacing w:before="100" w:beforeAutospacing="1" w:after="100" w:afterAutospacing="1"/>
              <w:rPr>
                <w:lang w:val="en-US"/>
              </w:rPr>
            </w:pPr>
            <w:r>
              <w:rPr>
                <w:rFonts w:cs="Arial"/>
                <w:color w:val="262626"/>
                <w:szCs w:val="28"/>
              </w:rPr>
              <w:t>Kunze U, Groman E: Impfen ist nicht nur Kindersache! Warum Impfungen auch für Erwachsene wichtig sind. Wien Med Wochenschr, 2019;169:203-14</w:t>
            </w:r>
          </w:p>
        </w:tc>
      </w:tr>
      <w:tr w:rsidR="005F3A17"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5F3A17" w:rsidRDefault="005F3A17" w:rsidP="00F73EA9">
            <w:pPr>
              <w:spacing w:line="240" w:lineRule="auto"/>
              <w:rPr>
                <w:rFonts w:ascii="Tw Cen MT" w:eastAsia="Tw Cen MT" w:hAnsi="Tw Cen MT" w:cs="Tw Cen MT"/>
                <w:sz w:val="24"/>
              </w:rPr>
            </w:pPr>
            <w:r>
              <w:rPr>
                <w:rFonts w:ascii="Tw Cen MT" w:eastAsia="Tw Cen MT" w:hAnsi="Tw Cen MT" w:cs="Tw Cen MT"/>
                <w:sz w:val="24"/>
              </w:rPr>
              <w:t>2019.86</w:t>
            </w:r>
          </w:p>
        </w:tc>
        <w:tc>
          <w:tcPr>
            <w:tcW w:w="8123" w:type="dxa"/>
            <w:tcBorders>
              <w:top w:val="single" w:sz="18" w:space="0" w:color="FFFFFF"/>
              <w:left w:val="single" w:sz="18" w:space="0" w:color="FFFFFF"/>
              <w:bottom w:val="single" w:sz="18" w:space="0" w:color="FFFFFF"/>
              <w:right w:val="nil"/>
            </w:tcBorders>
            <w:shd w:val="clear" w:color="auto" w:fill="CCCCCC"/>
          </w:tcPr>
          <w:p w:rsidR="005F3A17" w:rsidRDefault="005F3A17" w:rsidP="00362997">
            <w:pPr>
              <w:spacing w:before="100" w:beforeAutospacing="1" w:after="100" w:afterAutospacing="1"/>
              <w:rPr>
                <w:rFonts w:cs="Arial"/>
                <w:color w:val="262626"/>
                <w:szCs w:val="28"/>
              </w:rPr>
            </w:pPr>
            <w:r>
              <w:rPr>
                <w:rFonts w:cs="Arial"/>
                <w:bCs/>
                <w:color w:val="262626"/>
                <w:szCs w:val="28"/>
              </w:rPr>
              <w:t xml:space="preserve">Kunze U. and the ISW-TBE. </w:t>
            </w:r>
            <w:r>
              <w:rPr>
                <w:rFonts w:cs="Arial"/>
                <w:bCs/>
                <w:color w:val="262626"/>
                <w:szCs w:val="28"/>
                <w:lang w:val="en-US"/>
              </w:rPr>
              <w:t>Report of the 2</w:t>
            </w:r>
            <w:r w:rsidR="00362997">
              <w:rPr>
                <w:rFonts w:cs="Arial"/>
                <w:bCs/>
                <w:color w:val="262626"/>
                <w:szCs w:val="28"/>
                <w:lang w:val="en-US"/>
              </w:rPr>
              <w:t>0</w:t>
            </w:r>
            <w:r>
              <w:rPr>
                <w:rFonts w:cs="Arial"/>
                <w:bCs/>
                <w:color w:val="262626"/>
                <w:szCs w:val="28"/>
                <w:lang w:val="en-US"/>
              </w:rPr>
              <w:t>st Annual Meeting of the International Scientific Working Group on Tick-Borne Encephalitis (ISW-TBE)</w:t>
            </w:r>
            <w:r w:rsidR="00362997">
              <w:rPr>
                <w:rFonts w:cs="Arial"/>
                <w:bCs/>
                <w:color w:val="262626"/>
                <w:szCs w:val="28"/>
                <w:lang w:val="en-US"/>
              </w:rPr>
              <w:t>. Ticks and Tick-borne Diseases 2019;10(1):13-7. DOI: 10.1016/j.ttbdis.2018.08.004</w:t>
            </w:r>
          </w:p>
        </w:tc>
      </w:tr>
      <w:tr w:rsidR="00C33CF5"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C33CF5" w:rsidRDefault="00C33CF5" w:rsidP="00F73EA9">
            <w:pPr>
              <w:spacing w:line="240" w:lineRule="auto"/>
              <w:rPr>
                <w:rFonts w:ascii="Tw Cen MT" w:eastAsia="Tw Cen MT" w:hAnsi="Tw Cen MT" w:cs="Tw Cen MT"/>
                <w:sz w:val="24"/>
              </w:rPr>
            </w:pPr>
            <w:r>
              <w:rPr>
                <w:rFonts w:ascii="Tw Cen MT" w:eastAsia="Tw Cen MT" w:hAnsi="Tw Cen MT" w:cs="Tw Cen MT"/>
                <w:sz w:val="24"/>
              </w:rPr>
              <w:t>2019.87</w:t>
            </w:r>
          </w:p>
        </w:tc>
        <w:tc>
          <w:tcPr>
            <w:tcW w:w="8123" w:type="dxa"/>
            <w:tcBorders>
              <w:top w:val="single" w:sz="18" w:space="0" w:color="FFFFFF"/>
              <w:left w:val="single" w:sz="18" w:space="0" w:color="FFFFFF"/>
              <w:bottom w:val="single" w:sz="18" w:space="0" w:color="FFFFFF"/>
              <w:right w:val="nil"/>
            </w:tcBorders>
            <w:shd w:val="clear" w:color="auto" w:fill="CCCCCC"/>
          </w:tcPr>
          <w:p w:rsidR="00C33CF5" w:rsidRDefault="00E151EC" w:rsidP="00C33CF5">
            <w:pPr>
              <w:spacing w:before="100" w:beforeAutospacing="1" w:after="100" w:afterAutospacing="1"/>
              <w:rPr>
                <w:rFonts w:cs="Arial"/>
                <w:bCs/>
                <w:color w:val="262626"/>
                <w:szCs w:val="28"/>
              </w:rPr>
            </w:pPr>
            <w:r>
              <w:rPr>
                <w:rFonts w:cs="Arial"/>
                <w:bCs/>
                <w:color w:val="262626"/>
                <w:szCs w:val="28"/>
              </w:rPr>
              <w:t>Dorner</w:t>
            </w:r>
            <w:r w:rsidR="00C33CF5" w:rsidRPr="00C33CF5">
              <w:rPr>
                <w:rFonts w:cs="Arial"/>
                <w:bCs/>
                <w:color w:val="262626"/>
                <w:szCs w:val="28"/>
              </w:rPr>
              <w:t xml:space="preserve"> TE: Chronischer Schmerz und Gesellschaft. In: Bornemann-Cimenti, H; Lang-Illievich, K (Hrsg.). Schmerz. Ein facettenreiches Phänomen. Wien: Maudrich Verlag; Facultas Verlags- und Buchhandels AG. 2019. Seiten 169-182. ISBM: 978-3-99002-095-1; E-Book: 978-3-99030-798-4</w:t>
            </w:r>
          </w:p>
        </w:tc>
      </w:tr>
      <w:tr w:rsidR="00C33CF5"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C33CF5" w:rsidRDefault="00C33CF5" w:rsidP="00F73EA9">
            <w:pPr>
              <w:spacing w:line="240" w:lineRule="auto"/>
              <w:rPr>
                <w:rFonts w:ascii="Tw Cen MT" w:eastAsia="Tw Cen MT" w:hAnsi="Tw Cen MT" w:cs="Tw Cen MT"/>
                <w:sz w:val="24"/>
              </w:rPr>
            </w:pPr>
            <w:r>
              <w:rPr>
                <w:rFonts w:ascii="Tw Cen MT" w:eastAsia="Tw Cen MT" w:hAnsi="Tw Cen MT" w:cs="Tw Cen MT"/>
                <w:sz w:val="24"/>
              </w:rPr>
              <w:t>2019.88</w:t>
            </w:r>
          </w:p>
        </w:tc>
        <w:tc>
          <w:tcPr>
            <w:tcW w:w="8123" w:type="dxa"/>
            <w:tcBorders>
              <w:top w:val="single" w:sz="18" w:space="0" w:color="FFFFFF"/>
              <w:left w:val="single" w:sz="18" w:space="0" w:color="FFFFFF"/>
              <w:bottom w:val="single" w:sz="18" w:space="0" w:color="FFFFFF"/>
              <w:right w:val="nil"/>
            </w:tcBorders>
            <w:shd w:val="clear" w:color="auto" w:fill="CCCCCC"/>
          </w:tcPr>
          <w:p w:rsidR="00C33CF5" w:rsidRPr="00C33CF5" w:rsidRDefault="00E151EC" w:rsidP="00E151EC">
            <w:pPr>
              <w:spacing w:before="100" w:beforeAutospacing="1" w:after="100" w:afterAutospacing="1"/>
              <w:rPr>
                <w:rFonts w:cs="Arial"/>
                <w:bCs/>
                <w:color w:val="262626"/>
                <w:szCs w:val="28"/>
              </w:rPr>
            </w:pPr>
            <w:r>
              <w:rPr>
                <w:rFonts w:cs="Arial"/>
                <w:bCs/>
                <w:color w:val="262626"/>
                <w:szCs w:val="28"/>
              </w:rPr>
              <w:t>Dorner</w:t>
            </w:r>
            <w:r w:rsidR="00C33CF5" w:rsidRPr="00C33CF5">
              <w:rPr>
                <w:rFonts w:cs="Arial"/>
                <w:bCs/>
                <w:color w:val="262626"/>
                <w:szCs w:val="28"/>
              </w:rPr>
              <w:t xml:space="preserve"> TE: Epidemiologie der onkologischen Erkrankungen. In: Crevenna, R (Hrsg.). Onkologische Rehabilitation. Grundlagen, Methoden, Verfahren und Wiedereingliederung.</w:t>
            </w:r>
            <w:r w:rsidR="00C33CF5">
              <w:rPr>
                <w:rFonts w:cs="Arial"/>
                <w:bCs/>
                <w:color w:val="262626"/>
                <w:szCs w:val="28"/>
              </w:rPr>
              <w:t xml:space="preserve"> </w:t>
            </w:r>
            <w:r w:rsidR="00C33CF5" w:rsidRPr="00C33CF5">
              <w:rPr>
                <w:rFonts w:cs="Arial"/>
                <w:bCs/>
                <w:color w:val="262626"/>
                <w:szCs w:val="28"/>
              </w:rPr>
              <w:t>Spriner-Verlag Berlin Heidelberg. 1. Auflage, 2019. DOI: 10.1007/978-3-662-57982-4</w:t>
            </w:r>
            <w:r w:rsidR="00C33CF5">
              <w:rPr>
                <w:rFonts w:cs="Arial"/>
                <w:bCs/>
                <w:color w:val="262626"/>
                <w:szCs w:val="28"/>
              </w:rPr>
              <w:t xml:space="preserve">. </w:t>
            </w:r>
            <w:r w:rsidR="00C33CF5" w:rsidRPr="00C33CF5">
              <w:rPr>
                <w:rFonts w:cs="Arial"/>
                <w:bCs/>
                <w:color w:val="262626"/>
                <w:szCs w:val="28"/>
              </w:rPr>
              <w:t>ISBN: 978-3-662-57981-7; E-Book: 978-3-662-57982-4</w:t>
            </w:r>
          </w:p>
        </w:tc>
      </w:tr>
      <w:tr w:rsidR="00C33CF5"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C33CF5" w:rsidRDefault="00C33CF5" w:rsidP="00F73EA9">
            <w:pPr>
              <w:spacing w:line="240" w:lineRule="auto"/>
              <w:rPr>
                <w:rFonts w:ascii="Tw Cen MT" w:eastAsia="Tw Cen MT" w:hAnsi="Tw Cen MT" w:cs="Tw Cen MT"/>
                <w:sz w:val="24"/>
              </w:rPr>
            </w:pPr>
            <w:r>
              <w:rPr>
                <w:rFonts w:ascii="Tw Cen MT" w:eastAsia="Tw Cen MT" w:hAnsi="Tw Cen MT" w:cs="Tw Cen MT"/>
                <w:sz w:val="24"/>
              </w:rPr>
              <w:t>2019.89</w:t>
            </w:r>
          </w:p>
        </w:tc>
        <w:tc>
          <w:tcPr>
            <w:tcW w:w="8123" w:type="dxa"/>
            <w:tcBorders>
              <w:top w:val="single" w:sz="18" w:space="0" w:color="FFFFFF"/>
              <w:left w:val="single" w:sz="18" w:space="0" w:color="FFFFFF"/>
              <w:bottom w:val="single" w:sz="18" w:space="0" w:color="FFFFFF"/>
              <w:right w:val="nil"/>
            </w:tcBorders>
            <w:shd w:val="clear" w:color="auto" w:fill="CCCCCC"/>
          </w:tcPr>
          <w:p w:rsidR="00C33CF5" w:rsidRPr="00C33CF5" w:rsidRDefault="00C33CF5" w:rsidP="00E151EC">
            <w:pPr>
              <w:spacing w:before="100" w:beforeAutospacing="1" w:after="100" w:afterAutospacing="1"/>
              <w:rPr>
                <w:rFonts w:cs="Arial"/>
                <w:bCs/>
                <w:color w:val="262626"/>
                <w:szCs w:val="28"/>
              </w:rPr>
            </w:pPr>
            <w:r w:rsidRPr="00C33CF5">
              <w:rPr>
                <w:rFonts w:cs="Arial"/>
                <w:bCs/>
                <w:color w:val="262626"/>
                <w:szCs w:val="28"/>
              </w:rPr>
              <w:t>Mir E</w:t>
            </w:r>
            <w:r w:rsidR="00E151EC">
              <w:rPr>
                <w:rFonts w:cs="Arial"/>
                <w:bCs/>
                <w:color w:val="262626"/>
                <w:szCs w:val="28"/>
              </w:rPr>
              <w:t>,</w:t>
            </w:r>
            <w:r w:rsidRPr="00C33CF5">
              <w:rPr>
                <w:rFonts w:cs="Arial"/>
                <w:bCs/>
                <w:color w:val="262626"/>
                <w:szCs w:val="28"/>
              </w:rPr>
              <w:t xml:space="preserve"> Penz H</w:t>
            </w:r>
            <w:r w:rsidR="00E151EC">
              <w:rPr>
                <w:rFonts w:cs="Arial"/>
                <w:bCs/>
                <w:color w:val="262626"/>
                <w:szCs w:val="28"/>
              </w:rPr>
              <w:t>,</w:t>
            </w:r>
            <w:r w:rsidRPr="00C33CF5">
              <w:rPr>
                <w:rFonts w:cs="Arial"/>
                <w:bCs/>
                <w:color w:val="262626"/>
                <w:szCs w:val="28"/>
              </w:rPr>
              <w:t xml:space="preserve"> Dorner T: Settings der Gesundheitsförderung und Prävention für Menschen mit Demenz. In: Gebhard, D; Mir, E (Hrsg.). Gesundheitsförderung und Prävention für Menschen mit Demenz. Grundlagen und Interventionen. Springer-Verlag Berlin Heidelberg. 1. Auflage, 2019.</w:t>
            </w:r>
            <w:r>
              <w:rPr>
                <w:rFonts w:cs="Arial"/>
                <w:bCs/>
                <w:color w:val="262626"/>
                <w:szCs w:val="28"/>
              </w:rPr>
              <w:t xml:space="preserve"> </w:t>
            </w:r>
            <w:r w:rsidRPr="00C33CF5">
              <w:rPr>
                <w:rFonts w:cs="Arial"/>
                <w:bCs/>
                <w:color w:val="262626"/>
                <w:szCs w:val="28"/>
              </w:rPr>
              <w:t>DOI:  10.1007/978-3-662-58130-8. ISBN: 978-3-662-58129-2; E.Book: 978-3-662-58130-8</w:t>
            </w:r>
          </w:p>
        </w:tc>
      </w:tr>
      <w:tr w:rsidR="00C33CF5"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C33CF5" w:rsidRDefault="00C33CF5" w:rsidP="00F73EA9">
            <w:pPr>
              <w:spacing w:line="240" w:lineRule="auto"/>
              <w:rPr>
                <w:rFonts w:ascii="Tw Cen MT" w:eastAsia="Tw Cen MT" w:hAnsi="Tw Cen MT" w:cs="Tw Cen MT"/>
                <w:sz w:val="24"/>
              </w:rPr>
            </w:pPr>
            <w:r>
              <w:rPr>
                <w:rFonts w:ascii="Tw Cen MT" w:eastAsia="Tw Cen MT" w:hAnsi="Tw Cen MT" w:cs="Tw Cen MT"/>
                <w:sz w:val="24"/>
              </w:rPr>
              <w:t>2019.90</w:t>
            </w:r>
          </w:p>
        </w:tc>
        <w:tc>
          <w:tcPr>
            <w:tcW w:w="8123" w:type="dxa"/>
            <w:tcBorders>
              <w:top w:val="single" w:sz="18" w:space="0" w:color="FFFFFF"/>
              <w:left w:val="single" w:sz="18" w:space="0" w:color="FFFFFF"/>
              <w:bottom w:val="single" w:sz="18" w:space="0" w:color="FFFFFF"/>
              <w:right w:val="nil"/>
            </w:tcBorders>
            <w:shd w:val="clear" w:color="auto" w:fill="CCCCCC"/>
          </w:tcPr>
          <w:p w:rsidR="00C33CF5" w:rsidRPr="00C33CF5" w:rsidRDefault="00C33CF5" w:rsidP="00E151EC">
            <w:pPr>
              <w:spacing w:before="100" w:beforeAutospacing="1" w:after="100" w:afterAutospacing="1"/>
              <w:rPr>
                <w:rFonts w:cs="Arial"/>
                <w:bCs/>
                <w:color w:val="262626"/>
                <w:szCs w:val="28"/>
              </w:rPr>
            </w:pPr>
            <w:r w:rsidRPr="00C33CF5">
              <w:rPr>
                <w:rFonts w:cs="Arial"/>
                <w:bCs/>
                <w:color w:val="262626"/>
                <w:szCs w:val="28"/>
              </w:rPr>
              <w:t>Dorner TE</w:t>
            </w:r>
            <w:r w:rsidR="00E151EC">
              <w:rPr>
                <w:rFonts w:cs="Arial"/>
                <w:bCs/>
                <w:color w:val="262626"/>
                <w:szCs w:val="28"/>
              </w:rPr>
              <w:t xml:space="preserve">, </w:t>
            </w:r>
            <w:r w:rsidRPr="00C33CF5">
              <w:rPr>
                <w:rFonts w:cs="Arial"/>
                <w:bCs/>
                <w:color w:val="262626"/>
                <w:szCs w:val="28"/>
              </w:rPr>
              <w:t xml:space="preserve"> Zillmann N (Hrsg.): Sustainable Health. Abstractband zur 22. Wissenschaftlichen Tagung der Österreichischen Gesellschaft für Public Health; MAY 22-23 2019; 199 Seiten.</w:t>
            </w:r>
            <w:r>
              <w:rPr>
                <w:rFonts w:cs="Arial"/>
                <w:bCs/>
                <w:color w:val="262626"/>
                <w:szCs w:val="28"/>
              </w:rPr>
              <w:t xml:space="preserve"> </w:t>
            </w:r>
            <w:r w:rsidRPr="00C33CF5">
              <w:rPr>
                <w:rFonts w:cs="Arial"/>
                <w:bCs/>
                <w:color w:val="262626"/>
                <w:szCs w:val="28"/>
              </w:rPr>
              <w:t>ISBN: 978-3-200-06344-0</w:t>
            </w:r>
          </w:p>
        </w:tc>
      </w:tr>
      <w:tr w:rsidR="00E151EC"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E151EC" w:rsidRDefault="00E151EC" w:rsidP="00F73EA9">
            <w:pPr>
              <w:spacing w:line="240" w:lineRule="auto"/>
              <w:rPr>
                <w:rFonts w:ascii="Tw Cen MT" w:eastAsia="Tw Cen MT" w:hAnsi="Tw Cen MT" w:cs="Tw Cen MT"/>
                <w:sz w:val="24"/>
              </w:rPr>
            </w:pPr>
            <w:r>
              <w:rPr>
                <w:rFonts w:ascii="Tw Cen MT" w:eastAsia="Tw Cen MT" w:hAnsi="Tw Cen MT" w:cs="Tw Cen MT"/>
                <w:sz w:val="24"/>
              </w:rPr>
              <w:t>2019.91</w:t>
            </w:r>
          </w:p>
        </w:tc>
        <w:tc>
          <w:tcPr>
            <w:tcW w:w="8123" w:type="dxa"/>
            <w:tcBorders>
              <w:top w:val="single" w:sz="18" w:space="0" w:color="FFFFFF"/>
              <w:left w:val="single" w:sz="18" w:space="0" w:color="FFFFFF"/>
              <w:bottom w:val="single" w:sz="18" w:space="0" w:color="FFFFFF"/>
              <w:right w:val="nil"/>
            </w:tcBorders>
            <w:shd w:val="clear" w:color="auto" w:fill="CCCCCC"/>
          </w:tcPr>
          <w:p w:rsidR="00E151EC" w:rsidRPr="00C33CF5" w:rsidRDefault="00E151EC" w:rsidP="00DF7D3F">
            <w:pPr>
              <w:spacing w:before="100" w:beforeAutospacing="1" w:after="100" w:afterAutospacing="1"/>
              <w:rPr>
                <w:rFonts w:cs="Arial"/>
                <w:bCs/>
                <w:color w:val="262626"/>
                <w:szCs w:val="28"/>
              </w:rPr>
            </w:pPr>
            <w:r w:rsidRPr="00E151EC">
              <w:rPr>
                <w:rFonts w:cs="Arial"/>
                <w:bCs/>
                <w:color w:val="262626"/>
                <w:szCs w:val="28"/>
              </w:rPr>
              <w:t>Titze S, Schebesch-Ruf W, Lackinger C, Großschädl L, Strehn A, Dorner TE, Niebauer J:</w:t>
            </w:r>
            <w:r>
              <w:rPr>
                <w:rFonts w:cs="Arial"/>
                <w:bCs/>
                <w:color w:val="262626"/>
                <w:szCs w:val="28"/>
              </w:rPr>
              <w:t xml:space="preserve"> </w:t>
            </w:r>
            <w:r w:rsidRPr="00E151EC">
              <w:rPr>
                <w:rFonts w:cs="Arial"/>
                <w:bCs/>
                <w:color w:val="262626"/>
                <w:szCs w:val="28"/>
              </w:rPr>
              <w:t>Short-and Long-Term Effectiveness of a Physical Activity Intervention with Coordinated Action between the Health Care Sector and Local Sports Clubs. A Pragmatic Trial in Austrian Adults. Int J Environ Res Public Health. 2019 Jul 3;16(13)</w:t>
            </w:r>
            <w:r w:rsidR="00DF7D3F">
              <w:rPr>
                <w:rFonts w:cs="Arial"/>
                <w:bCs/>
                <w:color w:val="262626"/>
                <w:szCs w:val="28"/>
              </w:rPr>
              <w:t>:</w:t>
            </w:r>
            <w:r w:rsidRPr="00E151EC">
              <w:rPr>
                <w:rFonts w:cs="Arial"/>
                <w:bCs/>
                <w:color w:val="262626"/>
                <w:szCs w:val="28"/>
              </w:rPr>
              <w:t>2362. DOI: 10.3390/ijerph16132362</w:t>
            </w:r>
          </w:p>
        </w:tc>
      </w:tr>
      <w:tr w:rsidR="00E151EC"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E151EC" w:rsidRDefault="00E151EC" w:rsidP="00F73EA9">
            <w:pPr>
              <w:spacing w:line="240" w:lineRule="auto"/>
              <w:rPr>
                <w:rFonts w:ascii="Tw Cen MT" w:eastAsia="Tw Cen MT" w:hAnsi="Tw Cen MT" w:cs="Tw Cen MT"/>
                <w:sz w:val="24"/>
              </w:rPr>
            </w:pPr>
            <w:r>
              <w:rPr>
                <w:rFonts w:ascii="Tw Cen MT" w:eastAsia="Tw Cen MT" w:hAnsi="Tw Cen MT" w:cs="Tw Cen MT"/>
                <w:sz w:val="24"/>
              </w:rPr>
              <w:t>2019.92</w:t>
            </w:r>
          </w:p>
        </w:tc>
        <w:tc>
          <w:tcPr>
            <w:tcW w:w="8123" w:type="dxa"/>
            <w:tcBorders>
              <w:top w:val="single" w:sz="18" w:space="0" w:color="FFFFFF"/>
              <w:left w:val="single" w:sz="18" w:space="0" w:color="FFFFFF"/>
              <w:bottom w:val="single" w:sz="18" w:space="0" w:color="FFFFFF"/>
              <w:right w:val="nil"/>
            </w:tcBorders>
            <w:shd w:val="clear" w:color="auto" w:fill="CCCCCC"/>
          </w:tcPr>
          <w:p w:rsidR="00E151EC" w:rsidRPr="00E151EC" w:rsidRDefault="00E151EC" w:rsidP="00B03531">
            <w:pPr>
              <w:spacing w:before="100" w:beforeAutospacing="1" w:after="100" w:afterAutospacing="1"/>
              <w:rPr>
                <w:rFonts w:cs="Arial"/>
                <w:bCs/>
                <w:color w:val="262626"/>
                <w:szCs w:val="28"/>
              </w:rPr>
            </w:pPr>
            <w:r w:rsidRPr="00E151EC">
              <w:rPr>
                <w:rFonts w:cs="Arial"/>
                <w:bCs/>
                <w:color w:val="262626"/>
                <w:szCs w:val="28"/>
              </w:rPr>
              <w:t>Haider S</w:t>
            </w:r>
            <w:r>
              <w:rPr>
                <w:rFonts w:cs="Arial"/>
                <w:bCs/>
                <w:color w:val="262626"/>
                <w:szCs w:val="28"/>
              </w:rPr>
              <w:t>,</w:t>
            </w:r>
            <w:r w:rsidRPr="00E151EC">
              <w:rPr>
                <w:rFonts w:cs="Arial"/>
                <w:bCs/>
                <w:color w:val="262626"/>
                <w:szCs w:val="28"/>
              </w:rPr>
              <w:t xml:space="preserve"> Grabovac I</w:t>
            </w:r>
            <w:r>
              <w:rPr>
                <w:rFonts w:cs="Arial"/>
                <w:bCs/>
                <w:color w:val="262626"/>
                <w:szCs w:val="28"/>
              </w:rPr>
              <w:t>,</w:t>
            </w:r>
            <w:r w:rsidRPr="00E151EC">
              <w:rPr>
                <w:rFonts w:cs="Arial"/>
                <w:bCs/>
                <w:color w:val="262626"/>
                <w:szCs w:val="28"/>
              </w:rPr>
              <w:t xml:space="preserve"> Smith L</w:t>
            </w:r>
            <w:r>
              <w:rPr>
                <w:rFonts w:cs="Arial"/>
                <w:bCs/>
                <w:color w:val="262626"/>
                <w:szCs w:val="28"/>
              </w:rPr>
              <w:t>,</w:t>
            </w:r>
            <w:r w:rsidRPr="00E151EC">
              <w:rPr>
                <w:rFonts w:cs="Arial"/>
                <w:bCs/>
                <w:color w:val="262626"/>
                <w:szCs w:val="28"/>
              </w:rPr>
              <w:t xml:space="preserve"> Stefanac S</w:t>
            </w:r>
            <w:r>
              <w:rPr>
                <w:rFonts w:cs="Arial"/>
                <w:bCs/>
                <w:color w:val="262626"/>
                <w:szCs w:val="28"/>
              </w:rPr>
              <w:t>,</w:t>
            </w:r>
            <w:r w:rsidRPr="00E151EC">
              <w:rPr>
                <w:rFonts w:cs="Arial"/>
                <w:bCs/>
                <w:color w:val="262626"/>
                <w:szCs w:val="28"/>
              </w:rPr>
              <w:t xml:space="preserve"> Jackson SE</w:t>
            </w:r>
            <w:r>
              <w:rPr>
                <w:rFonts w:cs="Arial"/>
                <w:bCs/>
                <w:color w:val="262626"/>
                <w:szCs w:val="28"/>
              </w:rPr>
              <w:t>,</w:t>
            </w:r>
            <w:r w:rsidRPr="00E151EC">
              <w:rPr>
                <w:rFonts w:cs="Arial"/>
                <w:bCs/>
                <w:color w:val="262626"/>
                <w:szCs w:val="28"/>
              </w:rPr>
              <w:t xml:space="preserve"> Li Y</w:t>
            </w:r>
            <w:r>
              <w:rPr>
                <w:rFonts w:cs="Arial"/>
                <w:bCs/>
                <w:color w:val="262626"/>
                <w:szCs w:val="28"/>
              </w:rPr>
              <w:t>,</w:t>
            </w:r>
            <w:r w:rsidRPr="00E151EC">
              <w:rPr>
                <w:rFonts w:cs="Arial"/>
                <w:bCs/>
                <w:color w:val="262626"/>
                <w:szCs w:val="28"/>
              </w:rPr>
              <w:t xml:space="preserve"> Cao C</w:t>
            </w:r>
            <w:r>
              <w:rPr>
                <w:rFonts w:cs="Arial"/>
                <w:bCs/>
                <w:color w:val="262626"/>
                <w:szCs w:val="28"/>
              </w:rPr>
              <w:t>,</w:t>
            </w:r>
            <w:r w:rsidRPr="00E151EC">
              <w:rPr>
                <w:rFonts w:cs="Arial"/>
                <w:bCs/>
                <w:color w:val="262626"/>
                <w:szCs w:val="28"/>
              </w:rPr>
              <w:t xml:space="preserve"> Waldhoer T</w:t>
            </w:r>
            <w:r>
              <w:rPr>
                <w:rFonts w:cs="Arial"/>
                <w:bCs/>
                <w:color w:val="262626"/>
                <w:szCs w:val="28"/>
              </w:rPr>
              <w:t>,</w:t>
            </w:r>
            <w:r w:rsidRPr="00E151EC">
              <w:rPr>
                <w:rFonts w:cs="Arial"/>
                <w:bCs/>
                <w:color w:val="262626"/>
                <w:szCs w:val="28"/>
              </w:rPr>
              <w:t xml:space="preserve"> Zhang Y</w:t>
            </w:r>
            <w:r>
              <w:rPr>
                <w:rFonts w:cs="Arial"/>
                <w:bCs/>
                <w:color w:val="262626"/>
                <w:szCs w:val="28"/>
              </w:rPr>
              <w:t>,</w:t>
            </w:r>
            <w:r w:rsidRPr="00E151EC">
              <w:rPr>
                <w:rFonts w:cs="Arial"/>
                <w:bCs/>
                <w:color w:val="262626"/>
                <w:szCs w:val="28"/>
              </w:rPr>
              <w:t xml:space="preserve"> Dorner TE</w:t>
            </w:r>
            <w:r>
              <w:rPr>
                <w:rFonts w:cs="Arial"/>
                <w:bCs/>
                <w:color w:val="262626"/>
                <w:szCs w:val="28"/>
              </w:rPr>
              <w:t>,</w:t>
            </w:r>
            <w:r w:rsidRPr="00E151EC">
              <w:rPr>
                <w:rFonts w:cs="Arial"/>
                <w:bCs/>
                <w:color w:val="262626"/>
                <w:szCs w:val="28"/>
              </w:rPr>
              <w:t xml:space="preserve"> Yang, L</w:t>
            </w:r>
            <w:r>
              <w:rPr>
                <w:rFonts w:cs="Arial"/>
                <w:bCs/>
                <w:color w:val="262626"/>
                <w:szCs w:val="28"/>
              </w:rPr>
              <w:t>:</w:t>
            </w:r>
            <w:r w:rsidRPr="00E151EC">
              <w:rPr>
                <w:rFonts w:cs="Arial"/>
                <w:bCs/>
                <w:color w:val="262626"/>
                <w:szCs w:val="28"/>
              </w:rPr>
              <w:t xml:space="preserve"> Health Care Providers' Advice on Lifestyle Modification for Older Adults. J Am Med Dir Assoc. 2019</w:t>
            </w:r>
            <w:r w:rsidR="00B03531">
              <w:rPr>
                <w:rFonts w:cs="Arial"/>
                <w:bCs/>
                <w:color w:val="262626"/>
                <w:szCs w:val="28"/>
              </w:rPr>
              <w:t xml:space="preserve">;21(3):361 </w:t>
            </w:r>
            <w:r>
              <w:rPr>
                <w:rFonts w:cs="Arial"/>
                <w:bCs/>
                <w:color w:val="262626"/>
                <w:szCs w:val="28"/>
              </w:rPr>
              <w:t>OI: 10.1016/j.jamda.2019.07.019</w:t>
            </w:r>
          </w:p>
        </w:tc>
      </w:tr>
      <w:tr w:rsidR="00553715"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553715" w:rsidRDefault="00553715" w:rsidP="00F73EA9">
            <w:pPr>
              <w:spacing w:line="240" w:lineRule="auto"/>
              <w:rPr>
                <w:rFonts w:ascii="Tw Cen MT" w:eastAsia="Tw Cen MT" w:hAnsi="Tw Cen MT" w:cs="Tw Cen MT"/>
                <w:sz w:val="24"/>
              </w:rPr>
            </w:pPr>
            <w:r>
              <w:rPr>
                <w:rFonts w:ascii="Tw Cen MT" w:eastAsia="Tw Cen MT" w:hAnsi="Tw Cen MT" w:cs="Tw Cen MT"/>
                <w:sz w:val="24"/>
              </w:rPr>
              <w:lastRenderedPageBreak/>
              <w:t>2019.93</w:t>
            </w:r>
          </w:p>
        </w:tc>
        <w:tc>
          <w:tcPr>
            <w:tcW w:w="8123" w:type="dxa"/>
            <w:tcBorders>
              <w:top w:val="single" w:sz="18" w:space="0" w:color="FFFFFF"/>
              <w:left w:val="single" w:sz="18" w:space="0" w:color="FFFFFF"/>
              <w:bottom w:val="single" w:sz="18" w:space="0" w:color="FFFFFF"/>
              <w:right w:val="nil"/>
            </w:tcBorders>
            <w:shd w:val="clear" w:color="auto" w:fill="CCCCCC"/>
          </w:tcPr>
          <w:p w:rsidR="00553715" w:rsidRPr="00E151EC" w:rsidRDefault="00553715" w:rsidP="00553715">
            <w:pPr>
              <w:spacing w:before="100" w:beforeAutospacing="1" w:after="100" w:afterAutospacing="1"/>
              <w:rPr>
                <w:rFonts w:cs="Arial"/>
                <w:bCs/>
                <w:color w:val="262626"/>
                <w:szCs w:val="28"/>
              </w:rPr>
            </w:pPr>
            <w:r w:rsidRPr="00553715">
              <w:rPr>
                <w:rFonts w:cs="Arial"/>
                <w:bCs/>
                <w:color w:val="262626"/>
                <w:szCs w:val="28"/>
              </w:rPr>
              <w:t xml:space="preserve">Rahman S, Mittendorfer-Rutz E, Dorner TE, Pazarlis K, Ropponen A, </w:t>
            </w:r>
            <w:r>
              <w:rPr>
                <w:rFonts w:cs="Arial"/>
                <w:bCs/>
                <w:color w:val="262626"/>
                <w:szCs w:val="28"/>
              </w:rPr>
              <w:t xml:space="preserve">Svedberg P, Wang M, Helgesson M: </w:t>
            </w:r>
            <w:r w:rsidRPr="00553715">
              <w:rPr>
                <w:rFonts w:cs="Arial"/>
                <w:bCs/>
                <w:color w:val="262626"/>
                <w:szCs w:val="28"/>
              </w:rPr>
              <w:t xml:space="preserve">Work-disability in low back pain patients with or without surgery, and the role of social insurance regulation changes in Sweden. </w:t>
            </w:r>
            <w:r>
              <w:rPr>
                <w:rFonts w:cs="Arial"/>
                <w:bCs/>
                <w:color w:val="262626"/>
                <w:szCs w:val="28"/>
              </w:rPr>
              <w:t xml:space="preserve"> </w:t>
            </w:r>
            <w:r w:rsidRPr="00553715">
              <w:rPr>
                <w:rFonts w:cs="Arial"/>
                <w:bCs/>
                <w:color w:val="262626"/>
                <w:szCs w:val="28"/>
              </w:rPr>
              <w:t>Eur J Public Health. 2019 Jun 1;29(3):524-530.DOI: 10.1093/eurpub/cky243</w:t>
            </w:r>
          </w:p>
        </w:tc>
      </w:tr>
      <w:tr w:rsidR="00553715"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553715" w:rsidRDefault="00553715" w:rsidP="00F73EA9">
            <w:pPr>
              <w:spacing w:line="240" w:lineRule="auto"/>
              <w:rPr>
                <w:rFonts w:ascii="Tw Cen MT" w:eastAsia="Tw Cen MT" w:hAnsi="Tw Cen MT" w:cs="Tw Cen MT"/>
                <w:sz w:val="24"/>
              </w:rPr>
            </w:pPr>
            <w:r>
              <w:rPr>
                <w:rFonts w:ascii="Tw Cen MT" w:eastAsia="Tw Cen MT" w:hAnsi="Tw Cen MT" w:cs="Tw Cen MT"/>
                <w:sz w:val="24"/>
              </w:rPr>
              <w:t>2019.94</w:t>
            </w:r>
          </w:p>
        </w:tc>
        <w:tc>
          <w:tcPr>
            <w:tcW w:w="8123" w:type="dxa"/>
            <w:tcBorders>
              <w:top w:val="single" w:sz="18" w:space="0" w:color="FFFFFF"/>
              <w:left w:val="single" w:sz="18" w:space="0" w:color="FFFFFF"/>
              <w:bottom w:val="single" w:sz="18" w:space="0" w:color="FFFFFF"/>
              <w:right w:val="nil"/>
            </w:tcBorders>
            <w:shd w:val="clear" w:color="auto" w:fill="CCCCCC"/>
          </w:tcPr>
          <w:p w:rsidR="00553715" w:rsidRPr="00553715" w:rsidRDefault="00553715" w:rsidP="00553715">
            <w:pPr>
              <w:spacing w:before="100" w:beforeAutospacing="1" w:after="100" w:afterAutospacing="1"/>
              <w:rPr>
                <w:rFonts w:cs="Arial"/>
                <w:bCs/>
                <w:color w:val="262626"/>
                <w:szCs w:val="28"/>
              </w:rPr>
            </w:pPr>
            <w:r w:rsidRPr="00553715">
              <w:rPr>
                <w:rFonts w:cs="Arial"/>
                <w:bCs/>
                <w:color w:val="262626"/>
                <w:szCs w:val="28"/>
              </w:rPr>
              <w:t>Haid</w:t>
            </w:r>
            <w:r>
              <w:rPr>
                <w:rFonts w:cs="Arial"/>
                <w:bCs/>
                <w:color w:val="262626"/>
                <w:szCs w:val="28"/>
              </w:rPr>
              <w:t xml:space="preserve">er S, Grabovac I, Dorner TE: </w:t>
            </w:r>
            <w:r w:rsidRPr="00553715">
              <w:rPr>
                <w:rFonts w:cs="Arial"/>
                <w:bCs/>
                <w:color w:val="262626"/>
                <w:szCs w:val="28"/>
              </w:rPr>
              <w:t>Fulfillment of physical activity guidelines in the general population and frailty status in the elderly population: A correlation study of data from 11 European countries. Wien Klin Wochenschr. 2019 Jun;131(11-12):288-293.DOI: 10.1007/s00508-018-1408-y</w:t>
            </w:r>
          </w:p>
        </w:tc>
      </w:tr>
      <w:tr w:rsidR="00553715"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553715" w:rsidRDefault="00553715" w:rsidP="00F73EA9">
            <w:pPr>
              <w:spacing w:line="240" w:lineRule="auto"/>
              <w:rPr>
                <w:rFonts w:ascii="Tw Cen MT" w:eastAsia="Tw Cen MT" w:hAnsi="Tw Cen MT" w:cs="Tw Cen MT"/>
                <w:sz w:val="24"/>
              </w:rPr>
            </w:pPr>
            <w:r>
              <w:rPr>
                <w:rFonts w:ascii="Tw Cen MT" w:eastAsia="Tw Cen MT" w:hAnsi="Tw Cen MT" w:cs="Tw Cen MT"/>
                <w:sz w:val="24"/>
              </w:rPr>
              <w:t>2019.95</w:t>
            </w:r>
          </w:p>
        </w:tc>
        <w:tc>
          <w:tcPr>
            <w:tcW w:w="8123" w:type="dxa"/>
            <w:tcBorders>
              <w:top w:val="single" w:sz="18" w:space="0" w:color="FFFFFF"/>
              <w:left w:val="single" w:sz="18" w:space="0" w:color="FFFFFF"/>
              <w:bottom w:val="single" w:sz="18" w:space="0" w:color="FFFFFF"/>
              <w:right w:val="nil"/>
            </w:tcBorders>
            <w:shd w:val="clear" w:color="auto" w:fill="CCCCCC"/>
          </w:tcPr>
          <w:p w:rsidR="00553715" w:rsidRPr="00553715" w:rsidRDefault="00553715" w:rsidP="00553715">
            <w:pPr>
              <w:spacing w:before="100" w:beforeAutospacing="1" w:after="100" w:afterAutospacing="1"/>
              <w:rPr>
                <w:rFonts w:cs="Arial"/>
                <w:bCs/>
                <w:color w:val="262626"/>
                <w:szCs w:val="28"/>
              </w:rPr>
            </w:pPr>
            <w:r w:rsidRPr="00553715">
              <w:rPr>
                <w:rFonts w:cs="Arial"/>
                <w:bCs/>
                <w:color w:val="262626"/>
                <w:szCs w:val="28"/>
              </w:rPr>
              <w:t xml:space="preserve">Wang M, Mittendorfer-Rutz E, Dorner TE, Pazarlis KA, Ropponen A, Svedberg P, </w:t>
            </w:r>
            <w:r>
              <w:rPr>
                <w:rFonts w:cs="Arial"/>
                <w:bCs/>
                <w:color w:val="262626"/>
                <w:szCs w:val="28"/>
              </w:rPr>
              <w:t xml:space="preserve">Helgesson M: </w:t>
            </w:r>
            <w:r w:rsidRPr="00553715">
              <w:rPr>
                <w:rFonts w:cs="Arial"/>
                <w:bCs/>
                <w:color w:val="262626"/>
                <w:szCs w:val="28"/>
              </w:rPr>
              <w:t>Determinants of work disability following lumbar spine decompression surgery. Scand J Public Health. 2019 May;47(3):281-292.DOI: 10.1177/1403494818785055</w:t>
            </w:r>
          </w:p>
        </w:tc>
      </w:tr>
      <w:tr w:rsidR="004765E6"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4765E6" w:rsidRDefault="004765E6" w:rsidP="00F73EA9">
            <w:pPr>
              <w:spacing w:line="240" w:lineRule="auto"/>
              <w:rPr>
                <w:rFonts w:ascii="Tw Cen MT" w:eastAsia="Tw Cen MT" w:hAnsi="Tw Cen MT" w:cs="Tw Cen MT"/>
                <w:sz w:val="24"/>
              </w:rPr>
            </w:pPr>
            <w:r>
              <w:rPr>
                <w:rFonts w:ascii="Tw Cen MT" w:eastAsia="Tw Cen MT" w:hAnsi="Tw Cen MT" w:cs="Tw Cen MT"/>
                <w:sz w:val="24"/>
              </w:rPr>
              <w:t>2019.96</w:t>
            </w:r>
          </w:p>
        </w:tc>
        <w:tc>
          <w:tcPr>
            <w:tcW w:w="8123" w:type="dxa"/>
            <w:tcBorders>
              <w:top w:val="single" w:sz="18" w:space="0" w:color="FFFFFF"/>
              <w:left w:val="single" w:sz="18" w:space="0" w:color="FFFFFF"/>
              <w:bottom w:val="single" w:sz="18" w:space="0" w:color="FFFFFF"/>
              <w:right w:val="nil"/>
            </w:tcBorders>
            <w:shd w:val="clear" w:color="auto" w:fill="CCCCCC"/>
          </w:tcPr>
          <w:p w:rsidR="004765E6" w:rsidRPr="00553715" w:rsidRDefault="004765E6" w:rsidP="004765E6">
            <w:pPr>
              <w:spacing w:before="100" w:beforeAutospacing="1" w:after="100" w:afterAutospacing="1"/>
              <w:rPr>
                <w:rFonts w:cs="Arial"/>
                <w:bCs/>
                <w:color w:val="262626"/>
                <w:szCs w:val="28"/>
              </w:rPr>
            </w:pPr>
            <w:r>
              <w:rPr>
                <w:rFonts w:cs="Arial"/>
                <w:bCs/>
                <w:color w:val="262626"/>
                <w:szCs w:val="28"/>
              </w:rPr>
              <w:t xml:space="preserve">Dorner, TE: </w:t>
            </w:r>
            <w:r w:rsidRPr="004765E6">
              <w:rPr>
                <w:rFonts w:cs="Arial"/>
                <w:bCs/>
                <w:color w:val="262626"/>
                <w:szCs w:val="28"/>
              </w:rPr>
              <w:t>Salutogenese als Konzept und Werkzeug in Public Health.</w:t>
            </w:r>
            <w:r>
              <w:rPr>
                <w:rFonts w:cs="Arial"/>
                <w:bCs/>
                <w:color w:val="262626"/>
                <w:szCs w:val="28"/>
              </w:rPr>
              <w:t xml:space="preserve"> </w:t>
            </w:r>
            <w:r w:rsidRPr="004765E6">
              <w:rPr>
                <w:rFonts w:cs="Arial"/>
                <w:bCs/>
                <w:color w:val="262626"/>
                <w:szCs w:val="28"/>
              </w:rPr>
              <w:t>Ganzheitsmedizinischer Kongress. Salutogenese – Wege zur Gesundheit.</w:t>
            </w:r>
            <w:r>
              <w:rPr>
                <w:rFonts w:cs="Arial"/>
                <w:bCs/>
                <w:color w:val="262626"/>
                <w:szCs w:val="28"/>
              </w:rPr>
              <w:t xml:space="preserve"> </w:t>
            </w:r>
            <w:r w:rsidRPr="004765E6">
              <w:rPr>
                <w:rFonts w:cs="Arial"/>
                <w:bCs/>
                <w:color w:val="262626"/>
                <w:szCs w:val="28"/>
              </w:rPr>
              <w:t>NOV 8-9 2019; Vienna, AUSTRIA.</w:t>
            </w:r>
            <w:r>
              <w:rPr>
                <w:rFonts w:cs="Arial"/>
                <w:bCs/>
                <w:color w:val="262626"/>
                <w:szCs w:val="28"/>
              </w:rPr>
              <w:t xml:space="preserve"> </w:t>
            </w:r>
            <w:r w:rsidRPr="004765E6">
              <w:rPr>
                <w:rFonts w:cs="Arial"/>
                <w:bCs/>
                <w:color w:val="262626"/>
                <w:szCs w:val="28"/>
              </w:rPr>
              <w:t>Abstractband, Seite 6-7</w:t>
            </w:r>
          </w:p>
        </w:tc>
      </w:tr>
      <w:tr w:rsidR="008938E8"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8938E8" w:rsidRDefault="008938E8" w:rsidP="00F73EA9">
            <w:pPr>
              <w:spacing w:line="240" w:lineRule="auto"/>
              <w:rPr>
                <w:rFonts w:ascii="Tw Cen MT" w:eastAsia="Tw Cen MT" w:hAnsi="Tw Cen MT" w:cs="Tw Cen MT"/>
                <w:sz w:val="24"/>
              </w:rPr>
            </w:pPr>
            <w:r>
              <w:rPr>
                <w:rFonts w:ascii="Tw Cen MT" w:eastAsia="Tw Cen MT" w:hAnsi="Tw Cen MT" w:cs="Tw Cen MT"/>
                <w:sz w:val="24"/>
              </w:rPr>
              <w:t>2019.97</w:t>
            </w:r>
          </w:p>
        </w:tc>
        <w:tc>
          <w:tcPr>
            <w:tcW w:w="8123" w:type="dxa"/>
            <w:tcBorders>
              <w:top w:val="single" w:sz="18" w:space="0" w:color="FFFFFF"/>
              <w:left w:val="single" w:sz="18" w:space="0" w:color="FFFFFF"/>
              <w:bottom w:val="single" w:sz="18" w:space="0" w:color="FFFFFF"/>
              <w:right w:val="nil"/>
            </w:tcBorders>
            <w:shd w:val="clear" w:color="auto" w:fill="CCCCCC"/>
          </w:tcPr>
          <w:p w:rsidR="008938E8" w:rsidRDefault="008938E8" w:rsidP="00A665C6">
            <w:pPr>
              <w:spacing w:before="100" w:beforeAutospacing="1" w:after="100" w:afterAutospacing="1"/>
              <w:rPr>
                <w:rFonts w:cs="Arial"/>
                <w:bCs/>
                <w:color w:val="262626"/>
                <w:szCs w:val="28"/>
              </w:rPr>
            </w:pPr>
            <w:r>
              <w:rPr>
                <w:rFonts w:cs="Arial"/>
                <w:bCs/>
                <w:color w:val="262626"/>
                <w:szCs w:val="28"/>
              </w:rPr>
              <w:t>Smith L, Jackson SE, Jacob L, Grabovac I, Nisbet LA, Lopez-Sanchez G</w:t>
            </w:r>
            <w:r w:rsidR="00A665C6">
              <w:rPr>
                <w:rFonts w:cs="Arial"/>
                <w:bCs/>
                <w:color w:val="262626"/>
                <w:szCs w:val="28"/>
              </w:rPr>
              <w:t>F, Gil Salmeron A, Yang L, Koyanagi A: Association between cannabis use and sexual behavior among adolescents aged 12-15 years in 21 low- and middle-income countries. Addictive Behaviors, 2019;99:106073</w:t>
            </w:r>
          </w:p>
        </w:tc>
      </w:tr>
      <w:tr w:rsidR="002A114D"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2A114D" w:rsidRDefault="002A114D" w:rsidP="00F73EA9">
            <w:pPr>
              <w:spacing w:line="240" w:lineRule="auto"/>
              <w:rPr>
                <w:rFonts w:ascii="Tw Cen MT" w:eastAsia="Tw Cen MT" w:hAnsi="Tw Cen MT" w:cs="Tw Cen MT"/>
                <w:sz w:val="24"/>
              </w:rPr>
            </w:pPr>
            <w:r>
              <w:rPr>
                <w:rFonts w:ascii="Tw Cen MT" w:eastAsia="Tw Cen MT" w:hAnsi="Tw Cen MT" w:cs="Tw Cen MT"/>
                <w:sz w:val="24"/>
              </w:rPr>
              <w:t>2019.98</w:t>
            </w:r>
          </w:p>
        </w:tc>
        <w:tc>
          <w:tcPr>
            <w:tcW w:w="8123" w:type="dxa"/>
            <w:tcBorders>
              <w:top w:val="single" w:sz="18" w:space="0" w:color="FFFFFF"/>
              <w:left w:val="single" w:sz="18" w:space="0" w:color="FFFFFF"/>
              <w:bottom w:val="single" w:sz="18" w:space="0" w:color="FFFFFF"/>
              <w:right w:val="nil"/>
            </w:tcBorders>
            <w:shd w:val="clear" w:color="auto" w:fill="CCCCCC"/>
          </w:tcPr>
          <w:p w:rsidR="002A114D" w:rsidRDefault="002A114D" w:rsidP="0029251B">
            <w:pPr>
              <w:spacing w:before="100" w:beforeAutospacing="1" w:after="100" w:afterAutospacing="1"/>
              <w:rPr>
                <w:rFonts w:cs="Arial"/>
                <w:bCs/>
                <w:color w:val="262626"/>
                <w:szCs w:val="28"/>
              </w:rPr>
            </w:pPr>
            <w:r>
              <w:rPr>
                <w:rFonts w:cs="Arial"/>
                <w:bCs/>
                <w:color w:val="262626"/>
                <w:szCs w:val="28"/>
              </w:rPr>
              <w:t>Ymerhalili G, Bytyci A, Maxhera O, Stein V, Dorner TE: Integrated care for older people in Kosovo. International Journal o</w:t>
            </w:r>
            <w:r w:rsidR="0029251B">
              <w:rPr>
                <w:rFonts w:cs="Arial"/>
                <w:bCs/>
                <w:color w:val="262626"/>
                <w:szCs w:val="28"/>
              </w:rPr>
              <w:t>f Integrated Care, 2019;19:A226. DOI: 10.5334/ijic.s3226</w:t>
            </w:r>
          </w:p>
        </w:tc>
      </w:tr>
      <w:tr w:rsidR="004451E3"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4451E3" w:rsidRDefault="004451E3" w:rsidP="00F73EA9">
            <w:pPr>
              <w:spacing w:line="240" w:lineRule="auto"/>
              <w:rPr>
                <w:rFonts w:ascii="Tw Cen MT" w:eastAsia="Tw Cen MT" w:hAnsi="Tw Cen MT" w:cs="Tw Cen MT"/>
                <w:sz w:val="24"/>
              </w:rPr>
            </w:pPr>
            <w:r>
              <w:rPr>
                <w:rFonts w:ascii="Tw Cen MT" w:eastAsia="Tw Cen MT" w:hAnsi="Tw Cen MT" w:cs="Tw Cen MT"/>
                <w:sz w:val="24"/>
              </w:rPr>
              <w:t>2019.99</w:t>
            </w:r>
          </w:p>
        </w:tc>
        <w:tc>
          <w:tcPr>
            <w:tcW w:w="8123" w:type="dxa"/>
            <w:tcBorders>
              <w:top w:val="single" w:sz="18" w:space="0" w:color="FFFFFF"/>
              <w:left w:val="single" w:sz="18" w:space="0" w:color="FFFFFF"/>
              <w:bottom w:val="single" w:sz="18" w:space="0" w:color="FFFFFF"/>
              <w:right w:val="nil"/>
            </w:tcBorders>
            <w:shd w:val="clear" w:color="auto" w:fill="CCCCCC"/>
          </w:tcPr>
          <w:p w:rsidR="004451E3" w:rsidRDefault="004451E3" w:rsidP="004451E3">
            <w:pPr>
              <w:rPr>
                <w:rFonts w:cs="Arial"/>
                <w:bCs/>
                <w:color w:val="262626"/>
                <w:szCs w:val="28"/>
              </w:rPr>
            </w:pPr>
            <w:r w:rsidRPr="0036457F">
              <w:t>Niederkrotenthaler T</w:t>
            </w:r>
            <w:r>
              <w:t xml:space="preserve">, </w:t>
            </w:r>
            <w:r w:rsidRPr="0036457F">
              <w:t>Till B</w:t>
            </w:r>
            <w:r>
              <w:t>:</w:t>
            </w:r>
            <w:r w:rsidRPr="0036457F">
              <w:t xml:space="preserve"> Effects of awareness material featuring depressed and suicidal individuals on an audience with depressive symptoms: Randomized controlled trial. Journal of Behavior Thera</w:t>
            </w:r>
            <w:r>
              <w:t>py and Experimental Psychiatry, 2019</w:t>
            </w:r>
            <w:proofErr w:type="gramStart"/>
            <w:r>
              <w:t>;66:101515</w:t>
            </w:r>
            <w:proofErr w:type="gramEnd"/>
            <w:r>
              <w:t>.  DOI: 10.1016/j.jbtep.2019.101515</w:t>
            </w:r>
          </w:p>
        </w:tc>
      </w:tr>
      <w:tr w:rsidR="00EB1AA8"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EB1AA8" w:rsidRDefault="00EB1AA8" w:rsidP="00F73EA9">
            <w:pPr>
              <w:spacing w:line="240" w:lineRule="auto"/>
              <w:rPr>
                <w:rFonts w:ascii="Tw Cen MT" w:eastAsia="Tw Cen MT" w:hAnsi="Tw Cen MT" w:cs="Tw Cen MT"/>
                <w:sz w:val="24"/>
              </w:rPr>
            </w:pPr>
            <w:r>
              <w:rPr>
                <w:rFonts w:ascii="Tw Cen MT" w:eastAsia="Tw Cen MT" w:hAnsi="Tw Cen MT" w:cs="Tw Cen MT"/>
                <w:sz w:val="24"/>
              </w:rPr>
              <w:t>2019.100</w:t>
            </w:r>
          </w:p>
        </w:tc>
        <w:tc>
          <w:tcPr>
            <w:tcW w:w="8123" w:type="dxa"/>
            <w:tcBorders>
              <w:top w:val="single" w:sz="18" w:space="0" w:color="FFFFFF"/>
              <w:left w:val="single" w:sz="18" w:space="0" w:color="FFFFFF"/>
              <w:bottom w:val="single" w:sz="18" w:space="0" w:color="FFFFFF"/>
              <w:right w:val="nil"/>
            </w:tcBorders>
            <w:shd w:val="clear" w:color="auto" w:fill="CCCCCC"/>
          </w:tcPr>
          <w:p w:rsidR="00EB1AA8" w:rsidRPr="0036457F" w:rsidRDefault="00EB1AA8" w:rsidP="00EB1AA8">
            <w:r>
              <w:t>Winzer E, Grabovac I, Ludvik B, Kruschitz R, Schindler K, Prager G, Klammer C, Smith L, Hoppichler F, Marculescu R, Wakolbinger M: Differences in Serum Magnesium Levels in Diabetic and Non-Diabetic Patients Following One-Anastomosis Gastric Bypass.Nutrients, 2019</w:t>
            </w:r>
            <w:proofErr w:type="gramStart"/>
            <w:r>
              <w:t>;11</w:t>
            </w:r>
            <w:proofErr w:type="gramEnd"/>
            <w:r>
              <w:t xml:space="preserve">(9):1984. DOI: 10.3390/nu11091984 </w:t>
            </w:r>
          </w:p>
        </w:tc>
      </w:tr>
      <w:tr w:rsidR="002E730B"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2E730B" w:rsidRDefault="002E730B" w:rsidP="00F73EA9">
            <w:pPr>
              <w:spacing w:line="240" w:lineRule="auto"/>
              <w:rPr>
                <w:rFonts w:ascii="Tw Cen MT" w:eastAsia="Tw Cen MT" w:hAnsi="Tw Cen MT" w:cs="Tw Cen MT"/>
                <w:sz w:val="24"/>
              </w:rPr>
            </w:pPr>
            <w:r>
              <w:rPr>
                <w:rFonts w:ascii="Tw Cen MT" w:eastAsia="Tw Cen MT" w:hAnsi="Tw Cen MT" w:cs="Tw Cen MT"/>
                <w:sz w:val="24"/>
              </w:rPr>
              <w:t>2019.101</w:t>
            </w:r>
          </w:p>
        </w:tc>
        <w:tc>
          <w:tcPr>
            <w:tcW w:w="8123" w:type="dxa"/>
            <w:tcBorders>
              <w:top w:val="single" w:sz="18" w:space="0" w:color="FFFFFF"/>
              <w:left w:val="single" w:sz="18" w:space="0" w:color="FFFFFF"/>
              <w:bottom w:val="single" w:sz="18" w:space="0" w:color="FFFFFF"/>
              <w:right w:val="nil"/>
            </w:tcBorders>
            <w:shd w:val="clear" w:color="auto" w:fill="CCCCCC"/>
          </w:tcPr>
          <w:p w:rsidR="002E730B" w:rsidRDefault="002E730B" w:rsidP="00EB1AA8">
            <w:r>
              <w:t>Wernhart A, Gahbauer S, Haluza D: aHealth and telemedicine: Practices and beliefs among healthcare professionals and medical students at a medical university. Plos ONE, 2019;14(2):e0213067. DOI: 10.1371/journal.pone.0213067</w:t>
            </w:r>
          </w:p>
        </w:tc>
      </w:tr>
      <w:tr w:rsidR="002A499A"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2A499A" w:rsidRDefault="002A499A" w:rsidP="00F73EA9">
            <w:pPr>
              <w:spacing w:line="240" w:lineRule="auto"/>
              <w:rPr>
                <w:rFonts w:ascii="Tw Cen MT" w:eastAsia="Tw Cen MT" w:hAnsi="Tw Cen MT" w:cs="Tw Cen MT"/>
                <w:sz w:val="24"/>
              </w:rPr>
            </w:pPr>
            <w:r>
              <w:rPr>
                <w:rFonts w:ascii="Tw Cen MT" w:eastAsia="Tw Cen MT" w:hAnsi="Tw Cen MT" w:cs="Tw Cen MT"/>
                <w:sz w:val="24"/>
              </w:rPr>
              <w:t>2019.102</w:t>
            </w:r>
          </w:p>
        </w:tc>
        <w:tc>
          <w:tcPr>
            <w:tcW w:w="8123" w:type="dxa"/>
            <w:tcBorders>
              <w:top w:val="single" w:sz="18" w:space="0" w:color="FFFFFF"/>
              <w:left w:val="single" w:sz="18" w:space="0" w:color="FFFFFF"/>
              <w:bottom w:val="single" w:sz="18" w:space="0" w:color="FFFFFF"/>
              <w:right w:val="nil"/>
            </w:tcBorders>
            <w:shd w:val="clear" w:color="auto" w:fill="CCCCCC"/>
          </w:tcPr>
          <w:p w:rsidR="002A499A" w:rsidRPr="002A499A" w:rsidRDefault="002A499A" w:rsidP="00EB1AA8">
            <w:pPr>
              <w:rPr>
                <w:vanish/>
              </w:rPr>
            </w:pPr>
            <w:r>
              <w:t>Kotzian S, Saletu M, Schwarzinger A, Haider S, Spatt J, Kranz G, Saletu B: Proactive telemedicine monitoring of sleep apnea treatment improves adherence in people with stroke- a randomized controlled trial (HOPES study). Sleep Medicine, 2019;64:48-55. DOI: 10.1016/j.sleep.2019.06.004</w:t>
            </w:r>
            <w:r>
              <w:rPr>
                <w:vanish/>
              </w:rPr>
              <w:t>HOPEs study) sssss</w:t>
            </w:r>
          </w:p>
        </w:tc>
      </w:tr>
      <w:tr w:rsidR="008B10C5"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8B10C5" w:rsidRDefault="008B10C5" w:rsidP="00F73EA9">
            <w:pPr>
              <w:spacing w:line="240" w:lineRule="auto"/>
              <w:rPr>
                <w:rFonts w:ascii="Tw Cen MT" w:eastAsia="Tw Cen MT" w:hAnsi="Tw Cen MT" w:cs="Tw Cen MT"/>
                <w:sz w:val="24"/>
              </w:rPr>
            </w:pPr>
            <w:r>
              <w:rPr>
                <w:rFonts w:ascii="Tw Cen MT" w:eastAsia="Tw Cen MT" w:hAnsi="Tw Cen MT" w:cs="Tw Cen MT"/>
                <w:sz w:val="24"/>
              </w:rPr>
              <w:t>2019.103</w:t>
            </w:r>
          </w:p>
        </w:tc>
        <w:tc>
          <w:tcPr>
            <w:tcW w:w="8123" w:type="dxa"/>
            <w:tcBorders>
              <w:top w:val="single" w:sz="18" w:space="0" w:color="FFFFFF"/>
              <w:left w:val="single" w:sz="18" w:space="0" w:color="FFFFFF"/>
              <w:bottom w:val="single" w:sz="18" w:space="0" w:color="FFFFFF"/>
              <w:right w:val="nil"/>
            </w:tcBorders>
            <w:shd w:val="clear" w:color="auto" w:fill="CCCCCC"/>
          </w:tcPr>
          <w:p w:rsidR="008B10C5" w:rsidRDefault="00772789" w:rsidP="008B10C5">
            <w:r>
              <w:t>Schaetzer M, Bhardwaj J, Koenig J, Wakolbinger M, Hoppichler F: Nationwide Offers for Adiposity Therapy in Children, Adolescents and Adults in Austria. WienKlinWochenschr, 2019;131(Suppl5):472</w:t>
            </w:r>
          </w:p>
        </w:tc>
      </w:tr>
      <w:tr w:rsidR="0094265A"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94265A" w:rsidRDefault="0094265A" w:rsidP="00F73EA9">
            <w:pPr>
              <w:spacing w:line="240" w:lineRule="auto"/>
              <w:rPr>
                <w:rFonts w:ascii="Tw Cen MT" w:eastAsia="Tw Cen MT" w:hAnsi="Tw Cen MT" w:cs="Tw Cen MT"/>
                <w:sz w:val="24"/>
              </w:rPr>
            </w:pPr>
            <w:r>
              <w:rPr>
                <w:rFonts w:ascii="Tw Cen MT" w:eastAsia="Tw Cen MT" w:hAnsi="Tw Cen MT" w:cs="Tw Cen MT"/>
                <w:sz w:val="24"/>
              </w:rPr>
              <w:t>2019.104</w:t>
            </w:r>
          </w:p>
        </w:tc>
        <w:tc>
          <w:tcPr>
            <w:tcW w:w="8123" w:type="dxa"/>
            <w:tcBorders>
              <w:top w:val="single" w:sz="18" w:space="0" w:color="FFFFFF"/>
              <w:left w:val="single" w:sz="18" w:space="0" w:color="FFFFFF"/>
              <w:bottom w:val="single" w:sz="18" w:space="0" w:color="FFFFFF"/>
              <w:right w:val="nil"/>
            </w:tcBorders>
            <w:shd w:val="clear" w:color="auto" w:fill="CCCCCC"/>
          </w:tcPr>
          <w:p w:rsidR="0094265A" w:rsidRDefault="00772789" w:rsidP="008B10C5">
            <w:r>
              <w:t>Schaetzer M, Sommer J, Koenig J, Wakolbinger M, Hoppichler F: School Meals and Diabetes Prevention – Evaluation of the Catering Situation at Austrian Schools. WienKlinWochenschr, 2019;131(Suppl5):472</w:t>
            </w:r>
          </w:p>
        </w:tc>
      </w:tr>
      <w:tr w:rsidR="00B16502"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B16502" w:rsidRDefault="00B16502" w:rsidP="00F73EA9">
            <w:pPr>
              <w:spacing w:line="240" w:lineRule="auto"/>
              <w:rPr>
                <w:rFonts w:ascii="Tw Cen MT" w:eastAsia="Tw Cen MT" w:hAnsi="Tw Cen MT" w:cs="Tw Cen MT"/>
                <w:sz w:val="24"/>
              </w:rPr>
            </w:pPr>
            <w:r>
              <w:rPr>
                <w:rFonts w:ascii="Tw Cen MT" w:eastAsia="Tw Cen MT" w:hAnsi="Tw Cen MT" w:cs="Tw Cen MT"/>
                <w:sz w:val="24"/>
              </w:rPr>
              <w:t>2019.105</w:t>
            </w:r>
          </w:p>
        </w:tc>
        <w:tc>
          <w:tcPr>
            <w:tcW w:w="8123" w:type="dxa"/>
            <w:tcBorders>
              <w:top w:val="single" w:sz="18" w:space="0" w:color="FFFFFF"/>
              <w:left w:val="single" w:sz="18" w:space="0" w:color="FFFFFF"/>
              <w:bottom w:val="single" w:sz="18" w:space="0" w:color="FFFFFF"/>
              <w:right w:val="nil"/>
            </w:tcBorders>
            <w:shd w:val="clear" w:color="auto" w:fill="CCCCCC"/>
          </w:tcPr>
          <w:p w:rsidR="00B16502" w:rsidRDefault="00B16502" w:rsidP="008B10C5">
            <w:r>
              <w:t>Grabovac I, Smith L, Ruskin A, Stefanac S, Yan L, Holy C. Veronese N, Jackson S: Well Being of Older Gay and Bisexual Men and Women in England: Results of a Cross-Sectional Population Based Study. European Journal of Public Health 2019;29</w:t>
            </w:r>
          </w:p>
        </w:tc>
      </w:tr>
      <w:tr w:rsidR="00444D15" w:rsidTr="002D7F73">
        <w:trPr>
          <w:trHeight w:val="246"/>
        </w:trPr>
        <w:tc>
          <w:tcPr>
            <w:tcW w:w="1145" w:type="dxa"/>
            <w:tcBorders>
              <w:top w:val="single" w:sz="18" w:space="0" w:color="FFFFFF"/>
              <w:left w:val="nil"/>
              <w:bottom w:val="single" w:sz="18" w:space="0" w:color="FFFFFF"/>
              <w:right w:val="single" w:sz="18" w:space="0" w:color="FFFFFF"/>
            </w:tcBorders>
            <w:shd w:val="clear" w:color="auto" w:fill="CCCCCC"/>
          </w:tcPr>
          <w:p w:rsidR="00444D15" w:rsidRDefault="00444D15" w:rsidP="00F73EA9">
            <w:pPr>
              <w:spacing w:line="240" w:lineRule="auto"/>
              <w:rPr>
                <w:rFonts w:ascii="Tw Cen MT" w:eastAsia="Tw Cen MT" w:hAnsi="Tw Cen MT" w:cs="Tw Cen MT"/>
                <w:sz w:val="24"/>
              </w:rPr>
            </w:pPr>
            <w:r>
              <w:rPr>
                <w:rFonts w:ascii="Tw Cen MT" w:eastAsia="Tw Cen MT" w:hAnsi="Tw Cen MT" w:cs="Tw Cen MT"/>
                <w:sz w:val="24"/>
              </w:rPr>
              <w:lastRenderedPageBreak/>
              <w:t>2019.106</w:t>
            </w:r>
          </w:p>
        </w:tc>
        <w:tc>
          <w:tcPr>
            <w:tcW w:w="8123" w:type="dxa"/>
            <w:tcBorders>
              <w:top w:val="single" w:sz="18" w:space="0" w:color="FFFFFF"/>
              <w:left w:val="single" w:sz="18" w:space="0" w:color="FFFFFF"/>
              <w:bottom w:val="single" w:sz="18" w:space="0" w:color="FFFFFF"/>
              <w:right w:val="nil"/>
            </w:tcBorders>
            <w:shd w:val="clear" w:color="auto" w:fill="CCCCCC"/>
          </w:tcPr>
          <w:p w:rsidR="00444D15" w:rsidRDefault="00444D15" w:rsidP="00444D15">
            <w:pPr>
              <w:spacing w:before="100" w:beforeAutospacing="1" w:after="100" w:afterAutospacing="1"/>
            </w:pPr>
            <w:r>
              <w:t>Kotzian ST, Haider S, Grabovac I, Schubert N, Spatt J: Successful performance of basic gestures in tablet technology in post stroke patients: A feasibility study. Technology and Health Care 27 2019:613-622. DOI: 10.3233/THC-181427</w:t>
            </w:r>
          </w:p>
        </w:tc>
      </w:tr>
    </w:tbl>
    <w:p w:rsidR="00772789" w:rsidRDefault="00955EB6" w:rsidP="005F3A17">
      <w:pPr>
        <w:spacing w:before="100" w:beforeAutospacing="1" w:after="100" w:afterAutospacing="1"/>
      </w:pPr>
      <w:r>
        <w:t> </w:t>
      </w:r>
    </w:p>
    <w:p w:rsidR="00444D15" w:rsidRDefault="00444D15" w:rsidP="005F3A17">
      <w:pPr>
        <w:spacing w:before="100" w:beforeAutospacing="1" w:after="100" w:afterAutospacing="1"/>
      </w:pPr>
    </w:p>
    <w:p w:rsidR="00921A12" w:rsidRPr="00CD6942" w:rsidRDefault="00921A12" w:rsidP="005F3A17">
      <w:pPr>
        <w:spacing w:before="100" w:beforeAutospacing="1" w:after="100" w:afterAutospacing="1"/>
        <w:rPr>
          <w:b/>
        </w:rPr>
      </w:pPr>
      <w:r w:rsidRPr="00CD6942">
        <w:rPr>
          <w:b/>
        </w:rPr>
        <w:t>m Druck</w:t>
      </w:r>
    </w:p>
    <w:p w:rsidR="00CD6942" w:rsidRDefault="00CD6942"/>
    <w:p w:rsidR="00AD0C54" w:rsidRDefault="00AD0C54">
      <w:r>
        <w:t>Grabovac I, Cao C, Haider S, Stefanac S, Jackson SE, Swami V, McDermott DT, Smith L, Yang L: Associations between physical activity, sedentary behavior and weight status with sexuality outcomes: Analyses from National Health and Nutrition  Examination Survey. J Sex Med.</w:t>
      </w:r>
      <w:r w:rsidR="00851A4E">
        <w:t xml:space="preserve">, 2020;17(1):60-68. </w:t>
      </w:r>
      <w:r>
        <w:t xml:space="preserve"> DOI: 10.1016/j.jsxm.2019.10.015</w:t>
      </w:r>
      <w:r w:rsidR="00851A4E">
        <w:t>. Epub 2019 Dec 4</w:t>
      </w:r>
    </w:p>
    <w:p w:rsidR="00381E49" w:rsidRDefault="00381E49">
      <w:r>
        <w:t>Jackson SE, Firth J, Firth JA, Veronese N, Grabovac I, Gorely T, Yang L, Smith L: Social Isolation and Physical Activity Mediate Associations Between Free Bus Travel and Wellbeing Among Older Adults in England. J Transp Health. 2019. DOI: 10.1016/j.jth.2019.03.006</w:t>
      </w:r>
    </w:p>
    <w:p w:rsidR="00F62550" w:rsidRDefault="00F62550">
      <w:r>
        <w:t xml:space="preserve">Smith L, Grabovac I, Veronese N, Soysal P, Isik AT, Stubbs B, Yang L Jackson SE: Sleep Quality, </w:t>
      </w:r>
      <w:proofErr w:type="gramStart"/>
      <w:r>
        <w:t>Duration ,</w:t>
      </w:r>
      <w:proofErr w:type="gramEnd"/>
      <w:r>
        <w:t xml:space="preserve"> and Associated Sexual Function at Older Age: Findings from the English Longitudinal Study of Ageing.</w:t>
      </w:r>
      <w:r w:rsidR="004136FE">
        <w:t xml:space="preserve"> The Journal of Sexual Medicine, </w:t>
      </w:r>
      <w:r>
        <w:t>201</w:t>
      </w:r>
      <w:r w:rsidR="004136FE">
        <w:t>9</w:t>
      </w:r>
      <w:proofErr w:type="gramStart"/>
      <w:r w:rsidR="004136FE">
        <w:t>;16</w:t>
      </w:r>
      <w:proofErr w:type="gramEnd"/>
      <w:r w:rsidR="004136FE">
        <w:t>(3)427-433. DOI: 1016.1016/j.jsxm.2019.01.005. Epub 2019 Feb 14</w:t>
      </w:r>
    </w:p>
    <w:p w:rsidR="00EF445A" w:rsidRDefault="00EF445A">
      <w:r>
        <w:t>Haider S, Grabovac I, Smith L, Stefanac S, Jackson S, Li Y, Cao C, Waldhoer T, Zhang Y, Dorner TE, Yang L: Health Care Provider´s Advice on Lifestyle Modification for Older Adults.</w:t>
      </w:r>
    </w:p>
    <w:p w:rsidR="009D526B" w:rsidRDefault="009D526B">
      <w:r>
        <w:t xml:space="preserve">Grabovac I, Stefanac S., Smith L, Haider S, Cao C, Jackson SE, Dorner TE, Waldhoer T, Rieder A, Yang L: Association of depression symptoms with receipt of healthcare provider advice on physical activity among US adults. </w:t>
      </w:r>
      <w:r w:rsidR="00553ABB">
        <w:t>J Affect Disord. 2020 Feb 1;262:304-309. DOI: 10.1016/j.jad.2019.11.023. Epub 2019 Nov 9</w:t>
      </w:r>
    </w:p>
    <w:p w:rsidR="00740A4F" w:rsidRDefault="00740A4F">
      <w:r>
        <w:t>Smith L, Jackson SE, Jacob L, Grabovac I, Yang L, Johnstone J, McDermott D, Gordon D, Lopez Sanchez GF, Stefanac S, Koyanagi A: Leisure-Time Sedentary Behavior, Alcohol Consumption, and Sexual Intercourse Among Adolescents Aged 12-15 Years in 19 Countries From Africa, the Americas, and Asia. J Sex Med 2019;</w:t>
      </w:r>
      <w:r w:rsidR="00385786">
        <w:t>16(9):1355-1363. DOI: 10.1016/j.jsxm.2019.06.013.Epub 2019 Jul 24</w:t>
      </w:r>
    </w:p>
    <w:p w:rsidR="005B701F" w:rsidRDefault="005B701F">
      <w:r>
        <w:t xml:space="preserve">Grabovac I, Veronese N, Stefanac S, Haider S, Jackson SE, Koyanagi A, Meilinger M, Stubbs B, Firth J, </w:t>
      </w:r>
      <w:r w:rsidR="009A10C6">
        <w:t xml:space="preserve">Soysal P, </w:t>
      </w:r>
      <w:r>
        <w:t>Di Gennaro F, Demurtas J, McDermott D</w:t>
      </w:r>
      <w:r w:rsidR="009A10C6">
        <w:t>T</w:t>
      </w:r>
      <w:r>
        <w:t>, Abbs AD, Yang L, S</w:t>
      </w:r>
      <w:r w:rsidR="009A10C6">
        <w:t>mith L: Human Immunodeficiency Virus Infection and Diverse Physical Health Outcomes: An Umbrella Review of Meta-analyses of Observational Studies. HIV Infection and Health Outcomes, CID 2019</w:t>
      </w:r>
    </w:p>
    <w:p w:rsidR="00F62550" w:rsidRDefault="00F62550">
      <w:r>
        <w:t>Authors´Reply to the Letter to the Editor: „Sleep and Sexual Arousal: A Complex</w:t>
      </w:r>
      <w:r w:rsidR="0009042B">
        <w:t xml:space="preserve"> Issue“. </w:t>
      </w:r>
      <w:r>
        <w:t xml:space="preserve">The </w:t>
      </w:r>
      <w:r w:rsidR="0009042B">
        <w:t>J</w:t>
      </w:r>
      <w:r>
        <w:t>ournal of Sexual Medicine 2019:1-2</w:t>
      </w:r>
    </w:p>
    <w:p w:rsidR="00BE4F9D" w:rsidRDefault="00BE4F9D" w:rsidP="0036457F">
      <w:r>
        <w:t xml:space="preserve">Smith LK, Blondel B, Zeitlin J, Haidinger G, Alexander S, Rodin U, Kyprianou T, Velebil P, Mortensen L, Sakkeus L, Gissler M, Heller G, Lack N, Antsaklis A, Berbik I, Ólafsdóttir HS, Bonham S, Cuttini M, Misins J, Isakova J, Wagener Y, Gatt M, Nijhuis J, Szamotulska K, Barros H, Horga M, Cap J, Tul N, Bolúmar F, Gottvall K, Källén K, Berrut S, Riggenbach M, Macfarlane A, Delnord M, Durox M, Hindori-Mohangoo A, the Euro-Peristat Scientific Committee. Producing valid statistics when legislation, </w:t>
      </w:r>
      <w:r>
        <w:lastRenderedPageBreak/>
        <w:t xml:space="preserve">culture, and medical practices differ for births at or before the threshold of survival: Report of a European workshop. BJOG: </w:t>
      </w:r>
    </w:p>
    <w:p w:rsidR="00BE4F9D" w:rsidRDefault="00BE4F9D" w:rsidP="0036457F">
      <w:r>
        <w:t>An International Journal of Obstetrics and Gynaecology, 2019</w:t>
      </w:r>
    </w:p>
    <w:p w:rsidR="00BE4F9D" w:rsidRDefault="00BE4F9D" w:rsidP="0036457F"/>
    <w:p w:rsidR="00BE4F9D" w:rsidRDefault="00BE4F9D" w:rsidP="0036457F">
      <w:r>
        <w:t xml:space="preserve">Hofmann GA, Gradl G, Schulz M, Haidinger G, Tanew A, Weber B. The frequency of photosensitizing drug dispensings in Austria and Germany: a correlation with their photosensitizing potential based on published literature. Journal of the European Academy of Dermatology and Venereology, 2019 </w:t>
      </w:r>
    </w:p>
    <w:p w:rsidR="0036457F" w:rsidRPr="0036457F" w:rsidRDefault="0036457F" w:rsidP="0036457F">
      <w:r>
        <w:t>Till</w:t>
      </w:r>
      <w:r w:rsidRPr="0036457F">
        <w:t xml:space="preserve"> B </w:t>
      </w:r>
      <w:r>
        <w:t>, N</w:t>
      </w:r>
      <w:r w:rsidRPr="0036457F">
        <w:t>iederkrotenthaler</w:t>
      </w:r>
      <w:r>
        <w:t xml:space="preserve"> T.: </w:t>
      </w:r>
      <w:r w:rsidRPr="0036457F">
        <w:t xml:space="preserve"> Medien und Suizid: Der aktuelle Forschungsstand zum Werther- und Papageno-Effekt – Eine Übersichtsarbeit. Psychotherapie Forum. doi: 10.1007/s00729-019-00125-1. </w:t>
      </w:r>
    </w:p>
    <w:p w:rsidR="0036457F" w:rsidRPr="0036457F" w:rsidRDefault="0036457F" w:rsidP="0036457F">
      <w:r w:rsidRPr="0036457F">
        <w:t>Kirchner S, Till</w:t>
      </w:r>
      <w:r>
        <w:t xml:space="preserve"> B, </w:t>
      </w:r>
      <w:r w:rsidRPr="0036457F">
        <w:t xml:space="preserve"> Plöderl M</w:t>
      </w:r>
      <w:r>
        <w:t xml:space="preserve">, </w:t>
      </w:r>
      <w:r w:rsidRPr="0036457F">
        <w:t xml:space="preserve"> Niederkrotenthaler T</w:t>
      </w:r>
      <w:r>
        <w:t xml:space="preserve">: </w:t>
      </w:r>
      <w:r w:rsidRPr="0036457F">
        <w:t xml:space="preserve"> “It Gets Better” videos for suicide prevention in LGBTIQ+ adolescents: Content analysis of German-language videos. Crisis – The Journal of Crisis Intervention and Suicide Prevention</w:t>
      </w:r>
    </w:p>
    <w:p w:rsidR="0036457F" w:rsidRDefault="009A4C9F" w:rsidP="0036457F">
      <w:r>
        <w:t>Niederkrotenthaler</w:t>
      </w:r>
      <w:r w:rsidR="0036457F" w:rsidRPr="0036457F">
        <w:t xml:space="preserve"> T, Sinyor M</w:t>
      </w:r>
      <w:r>
        <w:t xml:space="preserve">, </w:t>
      </w:r>
      <w:r w:rsidR="0036457F" w:rsidRPr="0036457F">
        <w:t>Till B</w:t>
      </w:r>
      <w:r>
        <w:t>:</w:t>
      </w:r>
      <w:r w:rsidR="0036457F" w:rsidRPr="0036457F">
        <w:t xml:space="preserve"> Response to: Ignoring data delays our reaction to emerging public health tragedies like „13 Reasons Why“. JAMA Psychiatry. (Letter). doi:10.1001/</w:t>
      </w:r>
      <w:r>
        <w:t>jamapsychiatry.2019.2758</w:t>
      </w:r>
    </w:p>
    <w:p w:rsidR="00390BF8" w:rsidRPr="0036457F" w:rsidRDefault="00390BF8" w:rsidP="0036457F">
      <w:r>
        <w:t>Smith L, Jackson E, Vancampfort D, Jacob L, Firth J, Grabovac I, McDermott D, Yang L, Lopez-Sanchez GF, Niederkrotenthaler T, Veronese N, Koyanagi A: Sexual behavior and Suicide attempts among adolescents aged 12-15 years from 38 countries: A global perspective.</w:t>
      </w:r>
    </w:p>
    <w:p w:rsidR="0036457F" w:rsidRPr="0036457F" w:rsidRDefault="0036457F" w:rsidP="0036457F"/>
    <w:p w:rsidR="0036457F" w:rsidRDefault="0036457F" w:rsidP="0036457F">
      <w:pPr>
        <w:rPr>
          <w:color w:val="1F497D"/>
          <w:lang w:val="en-US"/>
        </w:rPr>
      </w:pPr>
    </w:p>
    <w:p w:rsidR="00CD6942" w:rsidRPr="00CD6942" w:rsidRDefault="00CD6942">
      <w:pPr>
        <w:rPr>
          <w:b/>
        </w:rPr>
      </w:pPr>
      <w:r w:rsidRPr="00CD6942">
        <w:rPr>
          <w:b/>
        </w:rPr>
        <w:t>Kongress</w:t>
      </w:r>
    </w:p>
    <w:p w:rsidR="00CD6942" w:rsidRDefault="00CD6942"/>
    <w:p w:rsidR="00CD6942" w:rsidRDefault="00CD6942">
      <w:r>
        <w:t xml:space="preserve">Dorner TE: Salutogenese als Konzept und Werkzeug in Public Health. Kongress: Salutogenese – Wege zur Gesundheit, 8.-9. November 2019, Wien, Wiener Internationale Akademie für Ganzheitsmedizin </w:t>
      </w:r>
    </w:p>
    <w:sectPr w:rsidR="00CD69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FF"/>
    <w:rsid w:val="00007CB6"/>
    <w:rsid w:val="00015C2E"/>
    <w:rsid w:val="00021EFB"/>
    <w:rsid w:val="00042912"/>
    <w:rsid w:val="00051B63"/>
    <w:rsid w:val="00082C1B"/>
    <w:rsid w:val="0009042B"/>
    <w:rsid w:val="000A6A97"/>
    <w:rsid w:val="000B01D9"/>
    <w:rsid w:val="000C2465"/>
    <w:rsid w:val="000C3662"/>
    <w:rsid w:val="000E3835"/>
    <w:rsid w:val="000F2CEF"/>
    <w:rsid w:val="000F7F0F"/>
    <w:rsid w:val="0010296F"/>
    <w:rsid w:val="00114386"/>
    <w:rsid w:val="0011722A"/>
    <w:rsid w:val="001229A6"/>
    <w:rsid w:val="00125BD5"/>
    <w:rsid w:val="0014531A"/>
    <w:rsid w:val="0015384E"/>
    <w:rsid w:val="001544B6"/>
    <w:rsid w:val="001D13B1"/>
    <w:rsid w:val="002036B7"/>
    <w:rsid w:val="00242616"/>
    <w:rsid w:val="00244269"/>
    <w:rsid w:val="002613D2"/>
    <w:rsid w:val="00264522"/>
    <w:rsid w:val="0029251B"/>
    <w:rsid w:val="0029306C"/>
    <w:rsid w:val="002953DA"/>
    <w:rsid w:val="002A114D"/>
    <w:rsid w:val="002A499A"/>
    <w:rsid w:val="002A7A40"/>
    <w:rsid w:val="002B3C15"/>
    <w:rsid w:val="002D7F73"/>
    <w:rsid w:val="002E730B"/>
    <w:rsid w:val="002E7F1B"/>
    <w:rsid w:val="002F65E9"/>
    <w:rsid w:val="003033B6"/>
    <w:rsid w:val="00326EAF"/>
    <w:rsid w:val="0035791A"/>
    <w:rsid w:val="00362997"/>
    <w:rsid w:val="0036457F"/>
    <w:rsid w:val="003745BF"/>
    <w:rsid w:val="00381E49"/>
    <w:rsid w:val="00383B43"/>
    <w:rsid w:val="00385786"/>
    <w:rsid w:val="00386243"/>
    <w:rsid w:val="00390BF8"/>
    <w:rsid w:val="003A5DAF"/>
    <w:rsid w:val="003B074E"/>
    <w:rsid w:val="003C03DD"/>
    <w:rsid w:val="003C372C"/>
    <w:rsid w:val="003D0416"/>
    <w:rsid w:val="003D16B2"/>
    <w:rsid w:val="004136FE"/>
    <w:rsid w:val="0043712B"/>
    <w:rsid w:val="00444D15"/>
    <w:rsid w:val="004451E3"/>
    <w:rsid w:val="004726D2"/>
    <w:rsid w:val="004765E6"/>
    <w:rsid w:val="004878CE"/>
    <w:rsid w:val="004A6556"/>
    <w:rsid w:val="004D1B29"/>
    <w:rsid w:val="004D5226"/>
    <w:rsid w:val="004E2DB8"/>
    <w:rsid w:val="005051E4"/>
    <w:rsid w:val="0053049B"/>
    <w:rsid w:val="005321FF"/>
    <w:rsid w:val="00553715"/>
    <w:rsid w:val="00553ABB"/>
    <w:rsid w:val="00554C08"/>
    <w:rsid w:val="005628DA"/>
    <w:rsid w:val="00572433"/>
    <w:rsid w:val="00595D0A"/>
    <w:rsid w:val="005A35D4"/>
    <w:rsid w:val="005B701F"/>
    <w:rsid w:val="005D5757"/>
    <w:rsid w:val="005D6C8D"/>
    <w:rsid w:val="005F36F6"/>
    <w:rsid w:val="005F3A17"/>
    <w:rsid w:val="005F4B73"/>
    <w:rsid w:val="0062424E"/>
    <w:rsid w:val="006441D1"/>
    <w:rsid w:val="006562E9"/>
    <w:rsid w:val="00677F04"/>
    <w:rsid w:val="00696033"/>
    <w:rsid w:val="006A230D"/>
    <w:rsid w:val="006B5A1F"/>
    <w:rsid w:val="006C2FE6"/>
    <w:rsid w:val="006D07AD"/>
    <w:rsid w:val="006D5110"/>
    <w:rsid w:val="006E575A"/>
    <w:rsid w:val="006F4E52"/>
    <w:rsid w:val="00704F7F"/>
    <w:rsid w:val="007162D5"/>
    <w:rsid w:val="0073080F"/>
    <w:rsid w:val="00740A4F"/>
    <w:rsid w:val="00750BBF"/>
    <w:rsid w:val="00772789"/>
    <w:rsid w:val="00792382"/>
    <w:rsid w:val="007A2860"/>
    <w:rsid w:val="007E2D96"/>
    <w:rsid w:val="007E7C52"/>
    <w:rsid w:val="007F1E1E"/>
    <w:rsid w:val="0080044B"/>
    <w:rsid w:val="00804BBC"/>
    <w:rsid w:val="00807B57"/>
    <w:rsid w:val="008173F4"/>
    <w:rsid w:val="0083488F"/>
    <w:rsid w:val="00843A44"/>
    <w:rsid w:val="00851A4E"/>
    <w:rsid w:val="0086449C"/>
    <w:rsid w:val="008938E8"/>
    <w:rsid w:val="008B10C5"/>
    <w:rsid w:val="008C3AD8"/>
    <w:rsid w:val="008D0DA7"/>
    <w:rsid w:val="008D7A87"/>
    <w:rsid w:val="008E26EE"/>
    <w:rsid w:val="009033E7"/>
    <w:rsid w:val="00921A12"/>
    <w:rsid w:val="009331DB"/>
    <w:rsid w:val="0094265A"/>
    <w:rsid w:val="00955EB6"/>
    <w:rsid w:val="009A10C6"/>
    <w:rsid w:val="009A4C9F"/>
    <w:rsid w:val="009B22C5"/>
    <w:rsid w:val="009D1C01"/>
    <w:rsid w:val="009D526B"/>
    <w:rsid w:val="009F3EC0"/>
    <w:rsid w:val="009F51B4"/>
    <w:rsid w:val="009F6BCE"/>
    <w:rsid w:val="00A3409D"/>
    <w:rsid w:val="00A348EA"/>
    <w:rsid w:val="00A42E2D"/>
    <w:rsid w:val="00A50CC9"/>
    <w:rsid w:val="00A665C6"/>
    <w:rsid w:val="00A74034"/>
    <w:rsid w:val="00A81D9F"/>
    <w:rsid w:val="00A822C1"/>
    <w:rsid w:val="00A839E6"/>
    <w:rsid w:val="00A93852"/>
    <w:rsid w:val="00AA58E7"/>
    <w:rsid w:val="00AB4DF0"/>
    <w:rsid w:val="00AD0C54"/>
    <w:rsid w:val="00AE3185"/>
    <w:rsid w:val="00AF51E1"/>
    <w:rsid w:val="00B026FA"/>
    <w:rsid w:val="00B03531"/>
    <w:rsid w:val="00B126ED"/>
    <w:rsid w:val="00B16502"/>
    <w:rsid w:val="00B3777F"/>
    <w:rsid w:val="00B54062"/>
    <w:rsid w:val="00B958A9"/>
    <w:rsid w:val="00BB66BE"/>
    <w:rsid w:val="00BC06E6"/>
    <w:rsid w:val="00BC407F"/>
    <w:rsid w:val="00BD4C24"/>
    <w:rsid w:val="00BD5C22"/>
    <w:rsid w:val="00BE4F9D"/>
    <w:rsid w:val="00C17F9B"/>
    <w:rsid w:val="00C33CF5"/>
    <w:rsid w:val="00C36089"/>
    <w:rsid w:val="00C378C9"/>
    <w:rsid w:val="00C425FC"/>
    <w:rsid w:val="00C45D98"/>
    <w:rsid w:val="00C515C1"/>
    <w:rsid w:val="00C62A75"/>
    <w:rsid w:val="00C87DF1"/>
    <w:rsid w:val="00CB35F6"/>
    <w:rsid w:val="00CD19E2"/>
    <w:rsid w:val="00CD3938"/>
    <w:rsid w:val="00CD6942"/>
    <w:rsid w:val="00CD7158"/>
    <w:rsid w:val="00CF41D6"/>
    <w:rsid w:val="00D0429C"/>
    <w:rsid w:val="00D53594"/>
    <w:rsid w:val="00D74E7C"/>
    <w:rsid w:val="00D87F30"/>
    <w:rsid w:val="00DA0B0C"/>
    <w:rsid w:val="00DF7D3F"/>
    <w:rsid w:val="00E151EC"/>
    <w:rsid w:val="00E27FBB"/>
    <w:rsid w:val="00E40D0B"/>
    <w:rsid w:val="00E62F23"/>
    <w:rsid w:val="00E733A4"/>
    <w:rsid w:val="00E9629C"/>
    <w:rsid w:val="00EB1AA8"/>
    <w:rsid w:val="00EB2A14"/>
    <w:rsid w:val="00EC2261"/>
    <w:rsid w:val="00ED1969"/>
    <w:rsid w:val="00EF445A"/>
    <w:rsid w:val="00EF718C"/>
    <w:rsid w:val="00F00A15"/>
    <w:rsid w:val="00F16525"/>
    <w:rsid w:val="00F62550"/>
    <w:rsid w:val="00F63185"/>
    <w:rsid w:val="00F70CF9"/>
    <w:rsid w:val="00F73EA9"/>
    <w:rsid w:val="00F926E5"/>
    <w:rsid w:val="00F92C17"/>
    <w:rsid w:val="00FA455D"/>
    <w:rsid w:val="00FC6240"/>
    <w:rsid w:val="00FD2E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6168C-A48A-45ED-822C-09E1A4F3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21FF"/>
    <w:pPr>
      <w:spacing w:line="256" w:lineRule="auto"/>
    </w:pPr>
    <w:rPr>
      <w:rFonts w:ascii="Calibri" w:eastAsia="Calibri" w:hAnsi="Calibri" w:cs="Calibri"/>
      <w:color w:val="00000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rsid w:val="005321FF"/>
    <w:pPr>
      <w:spacing w:after="0" w:line="240" w:lineRule="auto"/>
    </w:pPr>
    <w:rPr>
      <w:rFonts w:eastAsiaTheme="minorEastAsia"/>
      <w:lang w:eastAsia="de-AT"/>
    </w:rPr>
    <w:tblPr>
      <w:tblCellMar>
        <w:top w:w="0" w:type="dxa"/>
        <w:left w:w="0" w:type="dxa"/>
        <w:bottom w:w="0" w:type="dxa"/>
        <w:right w:w="0" w:type="dxa"/>
      </w:tblCellMar>
    </w:tblPr>
  </w:style>
  <w:style w:type="character" w:styleId="Hyperlink">
    <w:name w:val="Hyperlink"/>
    <w:basedOn w:val="Absatz-Standardschriftart"/>
    <w:uiPriority w:val="99"/>
    <w:unhideWhenUsed/>
    <w:rsid w:val="009F3EC0"/>
    <w:rPr>
      <w:color w:val="0563C1" w:themeColor="hyperlink"/>
      <w:u w:val="single"/>
    </w:rPr>
  </w:style>
  <w:style w:type="paragraph" w:styleId="NurText">
    <w:name w:val="Plain Text"/>
    <w:basedOn w:val="Standard"/>
    <w:link w:val="NurTextZchn"/>
    <w:uiPriority w:val="99"/>
    <w:unhideWhenUsed/>
    <w:rsid w:val="00BE4F9D"/>
    <w:pPr>
      <w:spacing w:after="0" w:line="240" w:lineRule="auto"/>
    </w:pPr>
    <w:rPr>
      <w:rFonts w:eastAsiaTheme="minorHAnsi" w:cstheme="minorBidi"/>
      <w:color w:val="auto"/>
      <w:szCs w:val="21"/>
      <w:lang w:eastAsia="en-US"/>
    </w:rPr>
  </w:style>
  <w:style w:type="character" w:customStyle="1" w:styleId="NurTextZchn">
    <w:name w:val="Nur Text Zchn"/>
    <w:basedOn w:val="Absatz-Standardschriftart"/>
    <w:link w:val="NurText"/>
    <w:uiPriority w:val="99"/>
    <w:rsid w:val="00BE4F9D"/>
    <w:rPr>
      <w:rFonts w:ascii="Calibri" w:hAnsi="Calibri"/>
      <w:szCs w:val="21"/>
    </w:rPr>
  </w:style>
  <w:style w:type="paragraph" w:styleId="StandardWeb">
    <w:name w:val="Normal (Web)"/>
    <w:basedOn w:val="Standard"/>
    <w:uiPriority w:val="99"/>
    <w:semiHidden/>
    <w:unhideWhenUsed/>
    <w:rsid w:val="00ED1969"/>
    <w:pPr>
      <w:spacing w:before="100" w:beforeAutospacing="1" w:after="100" w:afterAutospacing="1" w:line="240" w:lineRule="auto"/>
    </w:pPr>
    <w:rPr>
      <w:rFonts w:ascii="Times New Roman" w:eastAsiaTheme="minorHAnsi" w:hAnsi="Times New Roman" w:cs="Times New Roman"/>
      <w:color w:val="auto"/>
      <w:sz w:val="24"/>
      <w:szCs w:val="24"/>
    </w:rPr>
  </w:style>
  <w:style w:type="character" w:styleId="Fett">
    <w:name w:val="Strong"/>
    <w:basedOn w:val="Absatz-Standardschriftart"/>
    <w:uiPriority w:val="22"/>
    <w:qFormat/>
    <w:rsid w:val="00ED1969"/>
    <w:rPr>
      <w:b/>
      <w:bCs/>
    </w:rPr>
  </w:style>
  <w:style w:type="character" w:styleId="Hervorhebung">
    <w:name w:val="Emphasis"/>
    <w:basedOn w:val="Absatz-Standardschriftart"/>
    <w:uiPriority w:val="20"/>
    <w:qFormat/>
    <w:rsid w:val="00ED19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755843">
      <w:bodyDiv w:val="1"/>
      <w:marLeft w:val="0"/>
      <w:marRight w:val="0"/>
      <w:marTop w:val="0"/>
      <w:marBottom w:val="0"/>
      <w:divBdr>
        <w:top w:val="none" w:sz="0" w:space="0" w:color="auto"/>
        <w:left w:val="none" w:sz="0" w:space="0" w:color="auto"/>
        <w:bottom w:val="none" w:sz="0" w:space="0" w:color="auto"/>
        <w:right w:val="none" w:sz="0" w:space="0" w:color="auto"/>
      </w:divBdr>
    </w:div>
    <w:div w:id="550656495">
      <w:bodyDiv w:val="1"/>
      <w:marLeft w:val="0"/>
      <w:marRight w:val="0"/>
      <w:marTop w:val="0"/>
      <w:marBottom w:val="0"/>
      <w:divBdr>
        <w:top w:val="none" w:sz="0" w:space="0" w:color="auto"/>
        <w:left w:val="none" w:sz="0" w:space="0" w:color="auto"/>
        <w:bottom w:val="none" w:sz="0" w:space="0" w:color="auto"/>
        <w:right w:val="none" w:sz="0" w:space="0" w:color="auto"/>
      </w:divBdr>
    </w:div>
    <w:div w:id="654262808">
      <w:bodyDiv w:val="1"/>
      <w:marLeft w:val="0"/>
      <w:marRight w:val="0"/>
      <w:marTop w:val="0"/>
      <w:marBottom w:val="0"/>
      <w:divBdr>
        <w:top w:val="none" w:sz="0" w:space="0" w:color="auto"/>
        <w:left w:val="none" w:sz="0" w:space="0" w:color="auto"/>
        <w:bottom w:val="none" w:sz="0" w:space="0" w:color="auto"/>
        <w:right w:val="none" w:sz="0" w:space="0" w:color="auto"/>
      </w:divBdr>
    </w:div>
    <w:div w:id="796995148">
      <w:bodyDiv w:val="1"/>
      <w:marLeft w:val="0"/>
      <w:marRight w:val="0"/>
      <w:marTop w:val="0"/>
      <w:marBottom w:val="0"/>
      <w:divBdr>
        <w:top w:val="none" w:sz="0" w:space="0" w:color="auto"/>
        <w:left w:val="none" w:sz="0" w:space="0" w:color="auto"/>
        <w:bottom w:val="none" w:sz="0" w:space="0" w:color="auto"/>
        <w:right w:val="none" w:sz="0" w:space="0" w:color="auto"/>
      </w:divBdr>
    </w:div>
    <w:div w:id="801311342">
      <w:bodyDiv w:val="1"/>
      <w:marLeft w:val="0"/>
      <w:marRight w:val="0"/>
      <w:marTop w:val="0"/>
      <w:marBottom w:val="0"/>
      <w:divBdr>
        <w:top w:val="none" w:sz="0" w:space="0" w:color="auto"/>
        <w:left w:val="none" w:sz="0" w:space="0" w:color="auto"/>
        <w:bottom w:val="none" w:sz="0" w:space="0" w:color="auto"/>
        <w:right w:val="none" w:sz="0" w:space="0" w:color="auto"/>
      </w:divBdr>
    </w:div>
    <w:div w:id="902063288">
      <w:bodyDiv w:val="1"/>
      <w:marLeft w:val="0"/>
      <w:marRight w:val="0"/>
      <w:marTop w:val="0"/>
      <w:marBottom w:val="0"/>
      <w:divBdr>
        <w:top w:val="none" w:sz="0" w:space="0" w:color="auto"/>
        <w:left w:val="none" w:sz="0" w:space="0" w:color="auto"/>
        <w:bottom w:val="none" w:sz="0" w:space="0" w:color="auto"/>
        <w:right w:val="none" w:sz="0" w:space="0" w:color="auto"/>
      </w:divBdr>
    </w:div>
    <w:div w:id="1037778378">
      <w:bodyDiv w:val="1"/>
      <w:marLeft w:val="0"/>
      <w:marRight w:val="0"/>
      <w:marTop w:val="0"/>
      <w:marBottom w:val="0"/>
      <w:divBdr>
        <w:top w:val="none" w:sz="0" w:space="0" w:color="auto"/>
        <w:left w:val="none" w:sz="0" w:space="0" w:color="auto"/>
        <w:bottom w:val="none" w:sz="0" w:space="0" w:color="auto"/>
        <w:right w:val="none" w:sz="0" w:space="0" w:color="auto"/>
      </w:divBdr>
    </w:div>
    <w:div w:id="1169252929">
      <w:bodyDiv w:val="1"/>
      <w:marLeft w:val="0"/>
      <w:marRight w:val="0"/>
      <w:marTop w:val="0"/>
      <w:marBottom w:val="0"/>
      <w:divBdr>
        <w:top w:val="none" w:sz="0" w:space="0" w:color="auto"/>
        <w:left w:val="none" w:sz="0" w:space="0" w:color="auto"/>
        <w:bottom w:val="none" w:sz="0" w:space="0" w:color="auto"/>
        <w:right w:val="none" w:sz="0" w:space="0" w:color="auto"/>
      </w:divBdr>
    </w:div>
    <w:div w:id="1304196856">
      <w:bodyDiv w:val="1"/>
      <w:marLeft w:val="0"/>
      <w:marRight w:val="0"/>
      <w:marTop w:val="0"/>
      <w:marBottom w:val="0"/>
      <w:divBdr>
        <w:top w:val="none" w:sz="0" w:space="0" w:color="auto"/>
        <w:left w:val="none" w:sz="0" w:space="0" w:color="auto"/>
        <w:bottom w:val="none" w:sz="0" w:space="0" w:color="auto"/>
        <w:right w:val="none" w:sz="0" w:space="0" w:color="auto"/>
      </w:divBdr>
    </w:div>
    <w:div w:id="1462309887">
      <w:bodyDiv w:val="1"/>
      <w:marLeft w:val="0"/>
      <w:marRight w:val="0"/>
      <w:marTop w:val="0"/>
      <w:marBottom w:val="0"/>
      <w:divBdr>
        <w:top w:val="none" w:sz="0" w:space="0" w:color="auto"/>
        <w:left w:val="none" w:sz="0" w:space="0" w:color="auto"/>
        <w:bottom w:val="none" w:sz="0" w:space="0" w:color="auto"/>
        <w:right w:val="none" w:sz="0" w:space="0" w:color="auto"/>
      </w:divBdr>
    </w:div>
    <w:div w:id="14684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trstmh/try123" TargetMode="External"/><Relationship Id="rId3" Type="http://schemas.openxmlformats.org/officeDocument/2006/relationships/settings" Target="settings.xml"/><Relationship Id="rId7" Type="http://schemas.openxmlformats.org/officeDocument/2006/relationships/hyperlink" Target="https://doi.org/10.1016/S1473-3099(19)30159-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1007/s00508-019-1503-8" TargetMode="External"/><Relationship Id="rId11" Type="http://schemas.openxmlformats.org/officeDocument/2006/relationships/theme" Target="theme/theme1.xml"/><Relationship Id="rId5" Type="http://schemas.openxmlformats.org/officeDocument/2006/relationships/hyperlink" Target="https://doi.org/10.1371/journal.pone.021388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7/S0144686X18000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AC025-2F27-49F5-8F87-D01FC0210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4576</Words>
  <Characters>28833</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176</cp:revision>
  <cp:lastPrinted>2019-12-13T12:42:00Z</cp:lastPrinted>
  <dcterms:created xsi:type="dcterms:W3CDTF">2019-02-08T10:07:00Z</dcterms:created>
  <dcterms:modified xsi:type="dcterms:W3CDTF">2020-07-08T11:23:00Z</dcterms:modified>
</cp:coreProperties>
</file>