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Default="00555E38">
      <w:pPr>
        <w:spacing w:after="156"/>
        <w:ind w:left="2093"/>
        <w:jc w:val="center"/>
      </w:pPr>
      <w:r>
        <w:rPr>
          <w:rFonts w:ascii="Arial" w:eastAsia="Arial" w:hAnsi="Arial" w:cs="Arial"/>
          <w:b/>
          <w:sz w:val="32"/>
        </w:rPr>
        <w:t xml:space="preserve">Publikationen 2018 </w:t>
      </w:r>
    </w:p>
    <w:p w:rsidR="0001309C" w:rsidRDefault="00555E38">
      <w:pPr>
        <w:spacing w:after="220"/>
        <w:ind w:left="2095"/>
      </w:pPr>
      <w:r>
        <w:rPr>
          <w:rFonts w:ascii="Arial" w:eastAsia="Arial" w:hAnsi="Arial" w:cs="Arial"/>
          <w:b/>
          <w:sz w:val="24"/>
        </w:rPr>
        <w:t xml:space="preserve">Abteilung für Sozial- und Präventivmedizin </w:t>
      </w:r>
    </w:p>
    <w:p w:rsidR="0001309C" w:rsidRDefault="00555E38">
      <w:pPr>
        <w:spacing w:after="0"/>
        <w:ind w:left="21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268" w:type="dxa"/>
        <w:tblInd w:w="-108" w:type="dxa"/>
        <w:tblCellMar>
          <w:top w:w="7" w:type="dxa"/>
          <w:left w:w="107" w:type="dxa"/>
          <w:right w:w="34" w:type="dxa"/>
        </w:tblCellMar>
        <w:tblLook w:val="04A0" w:firstRow="1" w:lastRow="0" w:firstColumn="1" w:lastColumn="0" w:noHBand="0" w:noVBand="1"/>
      </w:tblPr>
      <w:tblGrid>
        <w:gridCol w:w="1244"/>
        <w:gridCol w:w="8024"/>
      </w:tblGrid>
      <w:tr w:rsidR="0001309C" w:rsidTr="008F3053">
        <w:trPr>
          <w:trHeight w:val="1016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 xml:space="preserve">2018.1 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Default="00555E38">
            <w:pPr>
              <w:spacing w:after="38"/>
            </w:pPr>
            <w:r>
              <w:rPr>
                <w:rFonts w:ascii="Arial" w:eastAsia="Arial" w:hAnsi="Arial" w:cs="Arial"/>
                <w:sz w:val="20"/>
              </w:rPr>
              <w:t>Diem G, Dorner T, Brettenhofer M, Jacq I, Dratva J, Gerhardus A, v. Mittelstaedt G: PH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1309C" w:rsidRDefault="00555E38" w:rsidP="00634B6E">
            <w:r>
              <w:rPr>
                <w:rFonts w:ascii="Arial" w:eastAsia="Arial" w:hAnsi="Arial" w:cs="Arial"/>
                <w:sz w:val="20"/>
              </w:rPr>
              <w:t xml:space="preserve">– eine spannende chemische Verbindung. </w:t>
            </w:r>
            <w:r w:rsidR="00634B6E">
              <w:rPr>
                <w:rFonts w:ascii="Arial" w:eastAsia="Arial" w:hAnsi="Arial" w:cs="Arial"/>
                <w:sz w:val="20"/>
              </w:rPr>
              <w:t>Gesundheitswesen 2018;80:428-9. DOI:10.1055/a-0601-2442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F3053" w:rsidTr="008F3053">
        <w:trPr>
          <w:trHeight w:val="1016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F3053" w:rsidRDefault="008F3053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2018.2.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6D7D0B" w:rsidRPr="006D7D0B" w:rsidRDefault="006D7D0B" w:rsidP="006D7D0B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Lackinger</w:t>
            </w:r>
            <w:r w:rsidRPr="006D7D0B">
              <w:rPr>
                <w:rFonts w:ascii="Arial" w:eastAsia="Arial" w:hAnsi="Arial" w:cs="Arial"/>
                <w:sz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6D7D0B">
              <w:rPr>
                <w:rFonts w:ascii="Arial" w:eastAsia="Arial" w:hAnsi="Arial" w:cs="Arial"/>
                <w:sz w:val="20"/>
              </w:rPr>
              <w:t xml:space="preserve"> Wilfinger J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6D7D0B">
              <w:rPr>
                <w:rFonts w:ascii="Arial" w:eastAsia="Arial" w:hAnsi="Arial" w:cs="Arial"/>
                <w:sz w:val="20"/>
              </w:rPr>
              <w:t xml:space="preserve"> Hoffmann K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6D7D0B">
              <w:rPr>
                <w:rFonts w:ascii="Arial" w:eastAsia="Arial" w:hAnsi="Arial" w:cs="Arial"/>
                <w:sz w:val="20"/>
              </w:rPr>
              <w:t xml:space="preserve"> Dorner TE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Pr="006D7D0B">
              <w:rPr>
                <w:rFonts w:ascii="Arial" w:eastAsia="Arial" w:hAnsi="Arial" w:cs="Arial"/>
                <w:sz w:val="20"/>
              </w:rPr>
              <w:t xml:space="preserve"> Die Inanspruchnahme von Primärversorgung und das Erreichen der Bewegungsempfehlungen von erwachsenen Personen im Alter von 20 bis 79 Jahren. Abstractband zur ÖGPH Wintertagung „High noon für die Primärversorgung – Versorgungsmodelle für die Zukunft“. JAN 19-29 2018:12; Lochau, AUSTRIA. Seite 1</w:t>
            </w:r>
          </w:p>
          <w:p w:rsidR="008F3053" w:rsidRDefault="008F3053" w:rsidP="008F3053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8F3053" w:rsidTr="008F3053">
        <w:trPr>
          <w:trHeight w:val="1016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F3053" w:rsidRDefault="008F3053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2018.3.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F3053" w:rsidRDefault="00B665C1" w:rsidP="00B665C1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</w:t>
            </w:r>
            <w:r w:rsidRPr="00B665C1">
              <w:rPr>
                <w:rFonts w:ascii="Arial" w:eastAsia="Arial" w:hAnsi="Arial" w:cs="Arial"/>
                <w:sz w:val="20"/>
              </w:rPr>
              <w:t xml:space="preserve"> 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B665C1">
              <w:rPr>
                <w:rFonts w:ascii="Arial" w:eastAsia="Arial" w:hAnsi="Arial" w:cs="Arial"/>
                <w:sz w:val="20"/>
              </w:rPr>
              <w:t xml:space="preserve"> Mayr</w:t>
            </w:r>
            <w:r>
              <w:rPr>
                <w:rFonts w:ascii="Arial" w:eastAsia="Arial" w:hAnsi="Arial" w:cs="Arial"/>
                <w:sz w:val="20"/>
              </w:rPr>
              <w:t xml:space="preserve"> :</w:t>
            </w:r>
            <w:r w:rsidRPr="00B665C1">
              <w:rPr>
                <w:rFonts w:ascii="Arial" w:eastAsia="Arial" w:hAnsi="Arial" w:cs="Arial"/>
                <w:sz w:val="20"/>
              </w:rPr>
              <w:t xml:space="preserve"> Zusammenhang zwischen Dichte an AllgemeinmedizinerInnen und soziodemographischen und gesundheitlichen Variablen in österreichischen Bezirken. Abstractband zur ÖGPH Wintertagung „High noon für die Primärversorgung – Versorgungsmodelle für die Zukunft“. JAN 19-29 2018; Lochau, AUSTRIA. Seite 10-11</w:t>
            </w:r>
          </w:p>
        </w:tc>
      </w:tr>
      <w:tr w:rsidR="0001309C" w:rsidTr="008F3053">
        <w:trPr>
          <w:trHeight w:val="77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 xml:space="preserve">2018.4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Dorner TE: Prävention durch Bewegung für das – und im Alter. 4. Fachtag Prävention, Rehabilitation &amp; Physikalische Medizin. </w:t>
            </w:r>
            <w:r w:rsidR="00647EED">
              <w:rPr>
                <w:rFonts w:ascii="Arial" w:eastAsia="Arial" w:hAnsi="Arial" w:cs="Arial"/>
                <w:sz w:val="20"/>
              </w:rPr>
              <w:t>MAR 9 2018, Vienna, AUSTRIA. Abstractband, Seite 20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1309C" w:rsidTr="008F3053">
        <w:trPr>
          <w:trHeight w:val="775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 xml:space="preserve">2018.5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Rieder A, Dorner TE: Sozialmedizinische Aspekte der Rheumatologie. Universum Innere Medizin 1/2018:8-11 </w:t>
            </w:r>
          </w:p>
        </w:tc>
      </w:tr>
      <w:tr w:rsidR="0001309C" w:rsidTr="008F3053">
        <w:trPr>
          <w:trHeight w:val="77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 xml:space="preserve">2018.6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693094" w:rsidP="00693094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Kunze U./Wittmann K (Hrsg): Der Mensch in Umwelt, Familie und Gesellschaft. 13 Aufl, Facultas Wien 2018</w:t>
            </w:r>
          </w:p>
        </w:tc>
      </w:tr>
      <w:tr w:rsidR="0001309C" w:rsidTr="008F3053">
        <w:trPr>
          <w:trHeight w:val="1040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 xml:space="preserve">2018.7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Default="00E51BB7" w:rsidP="00E51BB7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TE: Einführung in Gesundheitsförderung und Prävention. Gesundheit und Gesundheitsdeterminanten. In: Kunze U./Wittmann K (Hrsg): Der Mensch in Umwelt, Familie und Gesellschaft. 13 Aufl, Facultas Wien 2018:182-229</w:t>
            </w:r>
          </w:p>
          <w:p w:rsidR="003E3B10" w:rsidRPr="0053093E" w:rsidRDefault="003E3B10" w:rsidP="00E51BB7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01309C" w:rsidTr="008F3053">
        <w:trPr>
          <w:trHeight w:val="775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8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TE: Pain and chronic pain epidemiology. Wien Klin Wochenschr 2018</w:t>
            </w:r>
            <w:r w:rsidR="004B43AF">
              <w:rPr>
                <w:rFonts w:ascii="Arial" w:eastAsia="Arial" w:hAnsi="Arial" w:cs="Arial"/>
                <w:sz w:val="20"/>
              </w:rPr>
              <w:t xml:space="preserve"> Jan;130(1-2):</w:t>
            </w:r>
            <w:r>
              <w:rPr>
                <w:rFonts w:ascii="Arial" w:eastAsia="Arial" w:hAnsi="Arial" w:cs="Arial"/>
                <w:sz w:val="20"/>
              </w:rPr>
              <w:t>1-3.</w:t>
            </w:r>
            <w:r w:rsidR="004B43AF">
              <w:rPr>
                <w:rFonts w:ascii="Arial" w:eastAsia="Arial" w:hAnsi="Arial" w:cs="Arial"/>
                <w:sz w:val="20"/>
              </w:rPr>
              <w:t xml:space="preserve"> DOI: </w:t>
            </w:r>
            <w:r>
              <w:rPr>
                <w:rFonts w:ascii="Arial" w:eastAsia="Arial" w:hAnsi="Arial" w:cs="Arial"/>
                <w:sz w:val="20"/>
              </w:rPr>
              <w:t xml:space="preserve">10.1007/s00508-017-1301-0 </w:t>
            </w:r>
          </w:p>
        </w:tc>
      </w:tr>
      <w:tr w:rsidR="008F3053" w:rsidTr="008F3053">
        <w:tblPrEx>
          <w:tblCellMar>
            <w:right w:w="33" w:type="dxa"/>
          </w:tblCellMar>
        </w:tblPrEx>
        <w:trPr>
          <w:trHeight w:val="1283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F3053" w:rsidRDefault="008F305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9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F3053" w:rsidRDefault="008F305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Mittendorfer-Rutz E, Dorner TE: Socio-economic factors associated with the 1-year prevalence of severe pain and pain-related sickness absence in the Austrian population. Wien Klin Wochenschr 2018;130</w:t>
            </w:r>
            <w:r w:rsidR="009C3119">
              <w:rPr>
                <w:rFonts w:ascii="Arial" w:eastAsia="Arial" w:hAnsi="Arial" w:cs="Arial"/>
                <w:sz w:val="20"/>
              </w:rPr>
              <w:t>(1-2)</w:t>
            </w:r>
            <w:r>
              <w:rPr>
                <w:rFonts w:ascii="Arial" w:eastAsia="Arial" w:hAnsi="Arial" w:cs="Arial"/>
                <w:sz w:val="20"/>
              </w:rPr>
              <w:t>:4-13. DOI 10.1007/a00508-017-1222-y</w:t>
            </w:r>
          </w:p>
        </w:tc>
      </w:tr>
      <w:tr w:rsidR="008F3053" w:rsidTr="008F3053">
        <w:tblPrEx>
          <w:tblCellMar>
            <w:right w:w="33" w:type="dxa"/>
          </w:tblCellMar>
        </w:tblPrEx>
        <w:trPr>
          <w:trHeight w:val="1283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F3053" w:rsidRDefault="008F305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10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F3053" w:rsidRDefault="008F305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TE, Stein KV, Hahne J, Weper F, Friedrich M, Mittendorfer Rutz E: How are socio-demographic and psycho-social factors associated with the prevalence and chronicity of severe pain in 14 different body sites? A cross-sectional population- based survey. Wien Klin Wochenschr 2018;130:14-22. DOI 10.1007/a00508-017-1223-x</w:t>
            </w:r>
          </w:p>
        </w:tc>
      </w:tr>
      <w:tr w:rsidR="008F3053" w:rsidTr="008F3053">
        <w:tblPrEx>
          <w:tblCellMar>
            <w:right w:w="33" w:type="dxa"/>
          </w:tblCellMar>
        </w:tblPrEx>
        <w:trPr>
          <w:trHeight w:val="1283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F3053" w:rsidRDefault="008F305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2018.1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F3053" w:rsidRDefault="008F305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Köppen PJ. Dorner TE, Stein KV, Simon J, Crevenna R: Health literacy, pain intensity and pain perception in patients with chronic pain. Wien Klin Wochenschr 2018</w:t>
            </w:r>
            <w:r w:rsidR="009A05A5">
              <w:rPr>
                <w:rFonts w:ascii="Arial" w:eastAsia="Arial" w:hAnsi="Arial" w:cs="Arial"/>
                <w:sz w:val="20"/>
              </w:rPr>
              <w:t xml:space="preserve"> Jan;130(1-2):23-30. DOI:</w:t>
            </w:r>
            <w:r>
              <w:rPr>
                <w:rFonts w:ascii="Arial" w:eastAsia="Arial" w:hAnsi="Arial" w:cs="Arial"/>
                <w:sz w:val="20"/>
              </w:rPr>
              <w:t>10.1007/s00508-017-1309-5</w:t>
            </w:r>
          </w:p>
        </w:tc>
      </w:tr>
      <w:tr w:rsidR="008F3053" w:rsidTr="008F3053">
        <w:tblPrEx>
          <w:tblCellMar>
            <w:right w:w="33" w:type="dxa"/>
          </w:tblCellMar>
        </w:tblPrEx>
        <w:trPr>
          <w:trHeight w:val="1283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F3053" w:rsidRDefault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2018.12</w:t>
            </w:r>
          </w:p>
        </w:tc>
        <w:tc>
          <w:tcPr>
            <w:tcW w:w="8024" w:type="dxa"/>
            <w:tcBorders>
              <w:top w:val="nil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F3053" w:rsidRDefault="008F305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Keilani M, Crevenna R. Dorner TE: Sleep quality in subjects suffering from chronic pain. Wien Klin Wochenschr 2018</w:t>
            </w:r>
            <w:r w:rsidR="005A38D8">
              <w:rPr>
                <w:rFonts w:ascii="Arial" w:eastAsia="Arial" w:hAnsi="Arial" w:cs="Arial"/>
                <w:sz w:val="20"/>
              </w:rPr>
              <w:t xml:space="preserve"> Jan;</w:t>
            </w:r>
            <w:r>
              <w:rPr>
                <w:rFonts w:ascii="Arial" w:eastAsia="Arial" w:hAnsi="Arial" w:cs="Arial"/>
                <w:sz w:val="20"/>
              </w:rPr>
              <w:t>130</w:t>
            </w:r>
            <w:r w:rsidR="005A38D8">
              <w:rPr>
                <w:rFonts w:ascii="Arial" w:eastAsia="Arial" w:hAnsi="Arial" w:cs="Arial"/>
                <w:sz w:val="20"/>
              </w:rPr>
              <w:t>(1-2):</w:t>
            </w:r>
            <w:r>
              <w:rPr>
                <w:rFonts w:ascii="Arial" w:eastAsia="Arial" w:hAnsi="Arial" w:cs="Arial"/>
                <w:sz w:val="20"/>
              </w:rPr>
              <w:t xml:space="preserve">31-36. </w:t>
            </w:r>
            <w:r w:rsidR="005A38D8">
              <w:rPr>
                <w:rFonts w:ascii="Arial" w:eastAsia="Arial" w:hAnsi="Arial" w:cs="Arial"/>
                <w:sz w:val="20"/>
              </w:rPr>
              <w:t xml:space="preserve">DOI: </w:t>
            </w:r>
            <w:r>
              <w:rPr>
                <w:rFonts w:ascii="Arial" w:eastAsia="Arial" w:hAnsi="Arial" w:cs="Arial"/>
                <w:sz w:val="20"/>
              </w:rPr>
              <w:t>10.1007/s00508-017-1256-1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77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2018.13</w:t>
            </w:r>
            <w:r w:rsidR="00555E38"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Kunze M: Erkältungskrankheiten: Wirkstoffe und Wechselwirkungen unter der Lupe. Apo punkte 2018;1:4-6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775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4846D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2018.14</w:t>
            </w:r>
            <w:r w:rsidR="00555E38"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Kunze M: Medizinische Leitlinien – Anwendung, Hürden, Kritik. Österreichische Zeitschrift für das Ärztliche Gutachten. Manz 2018/1:3-6 ISSN 2308-7552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77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2018.15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Kunze M, Haditsch M: TBE as a matter of public health. In: Dobler G, Erber W, Schmitt HJ: Tick-Borne Encephalitis (TBE), Global Health Press, Singapore 2018, S.283-289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30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2018.16</w:t>
            </w:r>
            <w:r w:rsidR="00555E38"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Luger M, Winzer E, Schätzer M, Dämon S, Moser N, Blagusz K, Rittmannsberger B, Schätzer J, Lechleitner M, Rieder A, Hoppichler F: Gradual reduction of free sugars in beverages on sale by implementing the beverage checklist as a public health strategy. </w:t>
            </w:r>
          </w:p>
          <w:p w:rsidR="0001309C" w:rsidRPr="0053093E" w:rsidRDefault="00555E38" w:rsidP="00856F7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European Journal of Public Health, 2018</w:t>
            </w:r>
            <w:r w:rsidR="00856F7F">
              <w:rPr>
                <w:rFonts w:ascii="Arial" w:eastAsia="Arial" w:hAnsi="Arial" w:cs="Arial"/>
                <w:sz w:val="20"/>
              </w:rPr>
              <w:t>;28(5):961-7. DOI</w:t>
            </w:r>
            <w:r>
              <w:rPr>
                <w:rFonts w:ascii="Arial" w:eastAsia="Arial" w:hAnsi="Arial" w:cs="Arial"/>
                <w:sz w:val="20"/>
              </w:rPr>
              <w:t xml:space="preserve">: 10.1093/eurpub/cky039.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039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17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Luger E, Aspalter R, Luger M, Longin R, Rieder A, Dorner TE: Changes of dietary patterns during participation in a web-based weight reduction program. Public Health Nutrition. 2016 May; 19(7):1211-21; doi: 10.1017/S1368980015002852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304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18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TE, Berner C, Haider S, Grabovac I, Lamprecht T, Fenzl KH, Erlacher L: Sexual health in patients with rheumatoid arthritis and the association between physical fitness and sexual function: a cross-sectional study. Rheumatology International</w:t>
            </w:r>
            <w:r w:rsidR="00CB1BB0">
              <w:rPr>
                <w:rFonts w:ascii="Arial" w:eastAsia="Arial" w:hAnsi="Arial" w:cs="Arial"/>
                <w:sz w:val="20"/>
              </w:rPr>
              <w:t xml:space="preserve"> 2018 Jun;38(6):1103-1114.DOI:</w:t>
            </w:r>
            <w:r>
              <w:rPr>
                <w:rFonts w:ascii="Arial" w:eastAsia="Arial" w:hAnsi="Arial" w:cs="Arial"/>
                <w:sz w:val="20"/>
              </w:rPr>
              <w:t xml:space="preserve">10.1007/s00296-018-4023-3 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301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19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Hofhansl A, Anvari-Pirsch A, Horn W, Kainberger F, Kirnbauer I, Rieder A, Schernthaner G, Steinlechner B, Zlabinger G: Is portfolio-based assessment at the end of a clinical year a suitable instrument to evaluate clinical reasoning? Ottawa Conference, 10.-</w:t>
            </w:r>
          </w:p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14.3.2018. Abu Dhabi</w:t>
            </w:r>
            <w:r w:rsidRPr="0053093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30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2018.2</w:t>
            </w:r>
            <w:r w:rsidR="004846D8">
              <w:rPr>
                <w:rFonts w:ascii="Tw Cen MT" w:eastAsia="Tw Cen MT" w:hAnsi="Tw Cen MT" w:cs="Tw Cen MT"/>
                <w:sz w:val="24"/>
              </w:rPr>
              <w:t>0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Winzer E, Luger M, Schätzer M, Moser N, Schätzer J, Putzhammer C, Angelmaier L, Lechleitner M, Rieder A, Hoppichler F: Reduction of added sugar intake through a nutrition education program in Viennese school children.  Obes Facts 2018;11(suppl 1):1-358</w:t>
            </w:r>
            <w:r w:rsidRPr="0053093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304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2018.2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Luger M, Kruschitz R, Winzer E, Grabovac I, Schindler K, Krebs M, Rieder A, Hoppichler F, Ludvik B: Changes in bone mineral density due to omega-loop gastric bypass induced weight loss in patients with vitamin D supplementation over 12 months.  Obes Facts 2018;11(suppl 1):1-358</w:t>
            </w:r>
            <w:r w:rsidRPr="0053093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1309C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1309C" w:rsidRDefault="00555E38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2018.2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1309C" w:rsidRPr="0053093E" w:rsidRDefault="00555E3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Mayrhuber EAS, Dückers MLA, Wallner P, Arnberger A, Allex B, Wiesböck L, Wanka A, Kolland F, Eder R; Hutter HP, Kutalek R: Vulnerability to heatwaves and implications for public health interventions – A scoping review. Environmental Research 2018;166:42</w:t>
            </w:r>
            <w:r w:rsidR="008F305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95A33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2018.2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Winzer E, Luger M, Schindler K: Using digital photography in a clinical setting: a valid, accurate, and applicable method to assess food intake. European Journal of Clinical Nutrition 2018;72:879-887. https://doi.org/10.1038/s41430-018-0126-x</w:t>
            </w:r>
          </w:p>
        </w:tc>
      </w:tr>
      <w:tr w:rsidR="00B95A33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2018.2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6C139F" w:rsidP="006C139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Mayrhuber E, Dückers M, Wallner P, Arnberger A, Allex B, Wiesböck L, Wanka A, Kolland F, Eder R, Hutter HP, Kutalek R: Vulnerability to heatwaves and implications for public health interventions – a scoping review. Environmental Research  2018;166, 42-54. https://doi.org/10.1016/j.envres.2018.05.021</w:t>
            </w:r>
          </w:p>
        </w:tc>
      </w:tr>
      <w:tr w:rsidR="00B95A33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2018.2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9115BC" w:rsidRDefault="006C139F" w:rsidP="006C139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Wanke A, Wiesböck L, Allex B, Mayrhuber ES, Arnberger A, Eder R, Kutalek R, Wallner P. Hutter HP, Kolland F: Everyday discrimination in the neighbourhood: what a „doing“ perspective on age and ethnicity can offer. Ageing and Society 2018:1-26. </w:t>
            </w:r>
            <w:hyperlink r:id="rId4" w:history="1">
              <w:r w:rsidR="009115BC" w:rsidRPr="005462E3">
                <w:rPr>
                  <w:rStyle w:val="Hyperlink"/>
                  <w:rFonts w:ascii="Arial" w:eastAsia="Arial" w:hAnsi="Arial" w:cs="Arial"/>
                  <w:sz w:val="20"/>
                </w:rPr>
                <w:t>https://doi.org/10.1017/S</w:t>
              </w:r>
            </w:hyperlink>
          </w:p>
          <w:p w:rsidR="00B95A33" w:rsidRDefault="006C139F" w:rsidP="006C139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0144686X18000466</w:t>
            </w:r>
          </w:p>
        </w:tc>
      </w:tr>
      <w:tr w:rsidR="00B95A33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26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Egger M, Dorner TE, Grüninger U: 4.4. Gesundheitsförderung und Prävention in der </w:t>
            </w:r>
          </w:p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Arztpraxis. In: Egger M, Razum O. Rieder A. (Hrsg.): Public Health Kompakt. De Gruyter, 3. Aufl., 2018. S.208-15</w:t>
            </w:r>
          </w:p>
        </w:tc>
      </w:tr>
      <w:tr w:rsidR="00B95A33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27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TE, Mittelstaedt v G: Primärversorgung im deutschsprachigen Raum. Gesundheitswesen 2018;80</w:t>
            </w:r>
            <w:r w:rsidR="00284102">
              <w:rPr>
                <w:rFonts w:ascii="Arial" w:eastAsia="Arial" w:hAnsi="Arial" w:cs="Arial"/>
                <w:sz w:val="20"/>
              </w:rPr>
              <w:t>(5)</w:t>
            </w:r>
            <w:r>
              <w:rPr>
                <w:rFonts w:ascii="Arial" w:eastAsia="Arial" w:hAnsi="Arial" w:cs="Arial"/>
                <w:sz w:val="20"/>
              </w:rPr>
              <w:t>:431-2</w:t>
            </w:r>
            <w:r w:rsidR="00483A78">
              <w:rPr>
                <w:rFonts w:ascii="Arial" w:eastAsia="Arial" w:hAnsi="Arial" w:cs="Arial"/>
                <w:sz w:val="20"/>
              </w:rPr>
              <w:t>. DOI: 10.1055/a-0602-2476</w:t>
            </w:r>
          </w:p>
        </w:tc>
      </w:tr>
      <w:tr w:rsidR="00B95A33" w:rsidTr="008F3053">
        <w:tblPrEx>
          <w:tblCellMar>
            <w:right w:w="33" w:type="dxa"/>
          </w:tblCellMar>
        </w:tblPrEx>
        <w:trPr>
          <w:trHeight w:val="1016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28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Diem G, Dorner TE, Dratva J, </w:t>
            </w:r>
            <w:r w:rsidR="00450E4C">
              <w:rPr>
                <w:rFonts w:ascii="Arial" w:eastAsia="Arial" w:hAnsi="Arial" w:cs="Arial"/>
                <w:sz w:val="20"/>
              </w:rPr>
              <w:t xml:space="preserve">Gerhardus A, von Mittelstaedt G: </w:t>
            </w:r>
            <w:r>
              <w:rPr>
                <w:rFonts w:ascii="Arial" w:eastAsia="Arial" w:hAnsi="Arial" w:cs="Arial"/>
                <w:sz w:val="20"/>
              </w:rPr>
              <w:t>PH</w:t>
            </w:r>
            <w:r w:rsidRPr="0053093E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>- eine spannende chemische Verbindung.</w:t>
            </w:r>
            <w:r w:rsidR="00450E4C">
              <w:rPr>
                <w:rFonts w:ascii="Arial" w:eastAsia="Arial" w:hAnsi="Arial" w:cs="Arial"/>
                <w:sz w:val="20"/>
              </w:rPr>
              <w:t xml:space="preserve"> Gesundheitswesen 2018;80</w:t>
            </w:r>
            <w:r w:rsidR="00284102">
              <w:rPr>
                <w:rFonts w:ascii="Arial" w:eastAsia="Arial" w:hAnsi="Arial" w:cs="Arial"/>
                <w:sz w:val="20"/>
              </w:rPr>
              <w:t>(5)</w:t>
            </w:r>
            <w:r w:rsidR="00450E4C">
              <w:rPr>
                <w:rFonts w:ascii="Arial" w:eastAsia="Arial" w:hAnsi="Arial" w:cs="Arial"/>
                <w:sz w:val="20"/>
              </w:rPr>
              <w:t>:428-9. DOI: 10.1055/a-0601-2442</w:t>
            </w:r>
          </w:p>
        </w:tc>
      </w:tr>
      <w:tr w:rsidR="00B95A33" w:rsidTr="008F3053">
        <w:tblPrEx>
          <w:tblCellMar>
            <w:right w:w="0" w:type="dxa"/>
          </w:tblCellMar>
        </w:tblPrEx>
        <w:trPr>
          <w:trHeight w:val="1039"/>
        </w:trPr>
        <w:tc>
          <w:tcPr>
            <w:tcW w:w="124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29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Grabovac I, Meilinger M, Schalk H, Leichsenring B, Dorner TE: Prevalence and Associations of Illicit Drug and Polydrug Use in People Living with HIV in Vienna. Scientific Reports 2018</w:t>
            </w:r>
            <w:r w:rsidR="00617CD3">
              <w:rPr>
                <w:rFonts w:ascii="Arial" w:eastAsia="Arial" w:hAnsi="Arial" w:cs="Arial"/>
                <w:sz w:val="20"/>
              </w:rPr>
              <w:t xml:space="preserve"> May 23;8(1)</w:t>
            </w:r>
            <w:r>
              <w:rPr>
                <w:rFonts w:ascii="Arial" w:eastAsia="Arial" w:hAnsi="Arial" w:cs="Arial"/>
                <w:sz w:val="20"/>
              </w:rPr>
              <w:t xml:space="preserve">:8046. DOI: 10.1038/s41598/s41598-018-26413-5 </w:t>
            </w:r>
          </w:p>
        </w:tc>
      </w:tr>
      <w:tr w:rsidR="00B95A33" w:rsidTr="008F3053">
        <w:tblPrEx>
          <w:tblCellMar>
            <w:right w:w="0" w:type="dxa"/>
          </w:tblCellMar>
        </w:tblPrEx>
        <w:trPr>
          <w:trHeight w:val="103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2018.3</w:t>
            </w:r>
            <w:r w:rsidR="004846D8">
              <w:rPr>
                <w:rFonts w:ascii="Tw Cen MT" w:eastAsia="Tw Cen MT" w:hAnsi="Tw Cen MT" w:cs="Tw Cen MT"/>
                <w:sz w:val="24"/>
              </w:rPr>
              <w:t>0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EE70A3" w:rsidP="00EE70A3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Stefanac S, Grabovac I, Fristedt S: Wheelchair Users´Satisfaction with Prescribed Wheelchairs and Wheelchair Services in Croatia. Coll Antropol. 2018;42(3):101-12</w:t>
            </w:r>
          </w:p>
        </w:tc>
      </w:tr>
      <w:tr w:rsidR="00B95A33" w:rsidTr="008F3053">
        <w:tblPrEx>
          <w:tblCellMar>
            <w:right w:w="0" w:type="dxa"/>
          </w:tblCellMar>
        </w:tblPrEx>
        <w:trPr>
          <w:trHeight w:val="1304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2018.3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CC5E98" w:rsidRDefault="00CC5E9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Dorner T: Evidenzbasierte Tabakpolitik. Public Health Maßnahmen gegen Rauchen. In: Dorner, TE; Lackinger, C (Hrsg.). Health in all Societies. Abstractband zur 21. Wissenschaftlichen Tagung der Österreichischen Gesellschaft für Public Health; MAY 23-24 2018; Vienna, AUSTRIA, Seite 18-19. ISBN: 978-3-200-05094-5</w:t>
            </w:r>
          </w:p>
          <w:p w:rsidR="00B95A33" w:rsidRPr="0053093E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95A33" w:rsidTr="008F3053">
        <w:tblPrEx>
          <w:tblCellMar>
            <w:right w:w="0" w:type="dxa"/>
          </w:tblCellMar>
        </w:tblPrEx>
        <w:trPr>
          <w:trHeight w:val="130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2018.3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5F20D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Amort, FM. Dorner, TE. Workshop für Early Career Public Health Researcher. In: Dorner, TE; Lackinger, C (Hrsg.). Health in all Societies. Abstractband zur 21. Wissenschaftlichen Tagung der Österreichischen Gesellschaft für Public Health; MAY 23-24 2018; Vienna, AUSTRIA, Seite 25. ISBN: 978-3-200-05094-5</w:t>
            </w:r>
          </w:p>
        </w:tc>
      </w:tr>
      <w:tr w:rsidR="00B95A33" w:rsidTr="008F3053">
        <w:tblPrEx>
          <w:tblCellMar>
            <w:right w:w="0" w:type="dxa"/>
          </w:tblCellMar>
        </w:tblPrEx>
        <w:trPr>
          <w:trHeight w:val="1303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2018.3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5A4E04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A4E04">
              <w:rPr>
                <w:rFonts w:ascii="Arial" w:eastAsia="Arial" w:hAnsi="Arial" w:cs="Arial"/>
                <w:sz w:val="20"/>
              </w:rPr>
              <w:t>Seiler R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5A4E04">
              <w:rPr>
                <w:rFonts w:ascii="Arial" w:eastAsia="Arial" w:hAnsi="Arial" w:cs="Arial"/>
                <w:sz w:val="20"/>
              </w:rPr>
              <w:t xml:space="preserve"> Grabovac I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5A4E04">
              <w:rPr>
                <w:rFonts w:ascii="Arial" w:eastAsia="Arial" w:hAnsi="Arial" w:cs="Arial"/>
                <w:sz w:val="20"/>
              </w:rPr>
              <w:t xml:space="preserve"> Dorner TE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Pr="005A4E04">
              <w:rPr>
                <w:rFonts w:ascii="Arial" w:eastAsia="Arial" w:hAnsi="Arial" w:cs="Arial"/>
                <w:sz w:val="20"/>
              </w:rPr>
              <w:t xml:space="preserve"> Adolescents‘ perception of school-based sex education – an exploratory study.In: Dorner, TE; Lackinger, C (Hrsg.). Health in all Societies. Abstractband zur 21. Wissenschaftlichen Tagung der Österreichischen Gesellschaft für Public Health; MAY 23-24 2018; Vienna, AUSTRIA, Seite 38. ISBN: 978-3-200-05094-5</w:t>
            </w:r>
          </w:p>
        </w:tc>
      </w:tr>
      <w:tr w:rsidR="00B95A33" w:rsidTr="008F3053">
        <w:tblPrEx>
          <w:tblCellMar>
            <w:right w:w="0" w:type="dxa"/>
          </w:tblCellMar>
        </w:tblPrEx>
        <w:trPr>
          <w:trHeight w:val="1568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t>2018.3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253DD4" w:rsidRPr="00253DD4" w:rsidRDefault="004F5EC8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</w:t>
            </w:r>
            <w:r w:rsidR="00253DD4">
              <w:rPr>
                <w:rFonts w:ascii="Arial" w:eastAsia="Arial" w:hAnsi="Arial" w:cs="Arial"/>
                <w:sz w:val="20"/>
              </w:rPr>
              <w:t>rabovac I. Meilinger M, Schalk H, Leichsenring B, Dorner TE: Prevalence and Determinants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53DD4">
              <w:rPr>
                <w:rFonts w:ascii="Arial" w:eastAsia="Arial" w:hAnsi="Arial" w:cs="Arial"/>
                <w:sz w:val="20"/>
              </w:rPr>
              <w:t xml:space="preserve">of Illicit Drug and Polydrug Use in People Living with HIV in Austria. </w:t>
            </w:r>
            <w:r>
              <w:rPr>
                <w:rFonts w:ascii="Arial" w:eastAsia="Arial" w:hAnsi="Arial" w:cs="Arial"/>
                <w:sz w:val="20"/>
              </w:rPr>
              <w:t xml:space="preserve">European Journal of Public Health </w:t>
            </w:r>
            <w:r w:rsidR="00253DD4">
              <w:rPr>
                <w:rFonts w:ascii="Arial" w:eastAsia="Arial" w:hAnsi="Arial" w:cs="Arial"/>
                <w:sz w:val="20"/>
              </w:rPr>
              <w:t>2018;28</w:t>
            </w:r>
            <w:r w:rsidR="00670CF3">
              <w:rPr>
                <w:rFonts w:ascii="Arial" w:eastAsia="Arial" w:hAnsi="Arial" w:cs="Arial"/>
                <w:sz w:val="20"/>
              </w:rPr>
              <w:t>(Suppl 4):88. DOI: 10.1093/eurpub/cky213.252</w:t>
            </w: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2018.3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A3799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A37992">
              <w:rPr>
                <w:rFonts w:ascii="Arial" w:eastAsia="Arial" w:hAnsi="Arial" w:cs="Arial"/>
                <w:sz w:val="20"/>
              </w:rPr>
              <w:t>Lackinger C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A37992">
              <w:rPr>
                <w:rFonts w:ascii="Arial" w:eastAsia="Arial" w:hAnsi="Arial" w:cs="Arial"/>
                <w:sz w:val="20"/>
              </w:rPr>
              <w:t xml:space="preserve"> Titze S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A37992">
              <w:rPr>
                <w:rFonts w:ascii="Arial" w:eastAsia="Arial" w:hAnsi="Arial" w:cs="Arial"/>
                <w:sz w:val="20"/>
              </w:rPr>
              <w:t xml:space="preserve"> Dorner TE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Pr="00A37992">
              <w:rPr>
                <w:rFonts w:ascii="Arial" w:eastAsia="Arial" w:hAnsi="Arial" w:cs="Arial"/>
                <w:sz w:val="20"/>
              </w:rPr>
              <w:t xml:space="preserve"> Regelmäßige körperliche Aktivität als Erfolgsindikator: Adherence bei österreichischen Bewegungsinterventionen. In: Dorner, TE; Lackinger, C (Hrsg.). Health in all Societies. Abstractband zur 21. Wissenschaftlichen Tagung der Österreichischen Gesellschaft für Public Health; MAY 23-24 2018; Vienna, AUSTRIA, Seite 68. ISBN: 978-3-200-05094-5</w:t>
            </w: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36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A37992" w:rsidRPr="00A37992" w:rsidRDefault="00A3799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A37992">
              <w:rPr>
                <w:rFonts w:ascii="Arial" w:eastAsia="Arial" w:hAnsi="Arial" w:cs="Arial"/>
                <w:sz w:val="20"/>
              </w:rPr>
              <w:t>Linke FS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A37992">
              <w:rPr>
                <w:rFonts w:ascii="Arial" w:eastAsia="Arial" w:hAnsi="Arial" w:cs="Arial"/>
                <w:sz w:val="20"/>
              </w:rPr>
              <w:t xml:space="preserve"> Dorner TE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Pr="00A37992">
              <w:rPr>
                <w:rFonts w:ascii="Arial" w:eastAsia="Arial" w:hAnsi="Arial" w:cs="Arial"/>
                <w:sz w:val="20"/>
              </w:rPr>
              <w:t xml:space="preserve"> Auswirkungen eines Gastronomie-Rauchverbots auf die RaucherInnenprävalenz. In: Dorner, TE; Lackinger, C (Hrsg.). Health in all Societies. Abstractband zur 21. Wissenschaftlichen Tagung der Österreichischen Gesellschaft für Public Health; MAY 23-24 2018; Vienna, AUSTRIA, Seite 90. ISBN: 978-3-200-05094-5</w:t>
            </w:r>
          </w:p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37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84487" w:rsidRPr="00884487" w:rsidRDefault="00884487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884487">
              <w:rPr>
                <w:rFonts w:ascii="Arial" w:eastAsia="Arial" w:hAnsi="Arial" w:cs="Arial"/>
                <w:sz w:val="20"/>
              </w:rPr>
              <w:t>Hofmann R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884487">
              <w:rPr>
                <w:rFonts w:ascii="Arial" w:eastAsia="Arial" w:hAnsi="Arial" w:cs="Arial"/>
                <w:sz w:val="20"/>
              </w:rPr>
              <w:t xml:space="preserve"> Dorner TE, Pils K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884487">
              <w:rPr>
                <w:rFonts w:ascii="Arial" w:eastAsia="Arial" w:hAnsi="Arial" w:cs="Arial"/>
                <w:sz w:val="20"/>
              </w:rPr>
              <w:t xml:space="preserve"> Wild M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884487">
              <w:rPr>
                <w:rFonts w:ascii="Arial" w:eastAsia="Arial" w:hAnsi="Arial" w:cs="Arial"/>
                <w:sz w:val="20"/>
              </w:rPr>
              <w:t xml:space="preserve"> Gröschel-Gregoritsch C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884487">
              <w:rPr>
                <w:rFonts w:ascii="Arial" w:eastAsia="Arial" w:hAnsi="Arial" w:cs="Arial"/>
                <w:sz w:val="20"/>
              </w:rPr>
              <w:t xml:space="preserve"> Haider S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Pr="00884487">
              <w:rPr>
                <w:rFonts w:ascii="Arial" w:eastAsia="Arial" w:hAnsi="Arial" w:cs="Arial"/>
                <w:sz w:val="20"/>
              </w:rPr>
              <w:t xml:space="preserve"> Charakteristika von Personen, die an einem österreichweitem Bewegungsprogramm des Roten Kreuzes teilnehmen – Die „Bewegung bis ins Alter“ Initiative. In: Dorner, TE; Lackinger, C (Hrsg.). Health in all Societies. Abstractband zur 21. Wissenschaftlichen Tagung der Österreichischen Gesellschaft für Public Health; MAY 23-24 2018; Vienna, AUSTRIA, Seite 108. ISBN: 978-3-200-05094-5</w:t>
            </w:r>
          </w:p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38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30182F" w:rsidRDefault="0030182F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30182F">
              <w:rPr>
                <w:rFonts w:ascii="Arial" w:eastAsia="Arial" w:hAnsi="Arial" w:cs="Arial"/>
                <w:sz w:val="20"/>
              </w:rPr>
              <w:t>Titze, S; Schebesch-Ruf, W; Großschädl, L; Strehn, A; Dorner, TE; Niebauer, J; Lackinger, C. Bewegungsberatung in Kureinrichtungen kombiniert mit dem Sportvereinsprogramm JACKPOT erhöhen den Bewegungsumfang bei Erwachsenen – eine quasi-experimentelle Studie in der Steiermark. In: Dorner, TE; Lackinger, C (Hrsg.). Health in all Societies. Abstractband zur 21. Wissenschaftlichen Tagung der Österreichischen Gesellschaft für Public Health; MAY 23-24 2018; Vienna, AUSTRIA, Seite 139. ISBN: 978-3-200-05094-5</w:t>
            </w:r>
          </w:p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39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30182F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30182F">
              <w:rPr>
                <w:rFonts w:ascii="Arial" w:eastAsia="Arial" w:hAnsi="Arial" w:cs="Arial"/>
                <w:sz w:val="20"/>
              </w:rPr>
              <w:t>Haider S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30182F">
              <w:rPr>
                <w:rFonts w:ascii="Arial" w:eastAsia="Arial" w:hAnsi="Arial" w:cs="Arial"/>
                <w:sz w:val="20"/>
              </w:rPr>
              <w:t xml:space="preserve"> Grabovac I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30182F">
              <w:rPr>
                <w:rFonts w:ascii="Arial" w:eastAsia="Arial" w:hAnsi="Arial" w:cs="Arial"/>
                <w:sz w:val="20"/>
              </w:rPr>
              <w:t xml:space="preserve"> Berner C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30182F">
              <w:rPr>
                <w:rFonts w:ascii="Arial" w:eastAsia="Arial" w:hAnsi="Arial" w:cs="Arial"/>
                <w:sz w:val="20"/>
              </w:rPr>
              <w:t xml:space="preserve"> Lamprecht T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30182F">
              <w:rPr>
                <w:rFonts w:ascii="Arial" w:eastAsia="Arial" w:hAnsi="Arial" w:cs="Arial"/>
                <w:sz w:val="20"/>
              </w:rPr>
              <w:t xml:space="preserve"> Fenzl KH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30182F">
              <w:rPr>
                <w:rFonts w:ascii="Arial" w:eastAsia="Arial" w:hAnsi="Arial" w:cs="Arial"/>
                <w:sz w:val="20"/>
              </w:rPr>
              <w:t xml:space="preserve"> Erlacher L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30182F">
              <w:rPr>
                <w:rFonts w:ascii="Arial" w:eastAsia="Arial" w:hAnsi="Arial" w:cs="Arial"/>
                <w:sz w:val="20"/>
              </w:rPr>
              <w:t xml:space="preserve"> Dorner TE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Pr="0030182F">
              <w:rPr>
                <w:rFonts w:ascii="Arial" w:eastAsia="Arial" w:hAnsi="Arial" w:cs="Arial"/>
                <w:sz w:val="20"/>
              </w:rPr>
              <w:t xml:space="preserve"> Frailty Status bei PatientInnen mit seropositiver rheumatoider Arthritis im erwerbsfähigen Alter: Eine Querschnitt-Untersuchung. In: Dorner, TE; Lackinger, C (Hrsg.). Health in all Societies. Abstractband zur 21. Wissenschaftlichen Tagung der Österreichischen Gesellschaft für Public Health; MAY 23-24 2018; Vienna, AUSTRIA, Seite 165. ISBN: 978-3-200-05094-5</w:t>
            </w: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40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Wang M, Vaez M, Dorner TE, Tiihpmem K. Voss M, Ivert T, Mittendorfer-Rutz E: Trajectories and characteristics of work disability before and after acute myocardial infarction. Heart. 2018 Feb;104(4):340-348. DO</w:t>
            </w:r>
            <w:r w:rsidR="00C922F3">
              <w:rPr>
                <w:rFonts w:ascii="Arial" w:eastAsia="Arial" w:hAnsi="Arial" w:cs="Arial"/>
                <w:sz w:val="20"/>
              </w:rPr>
              <w:t>I:10.1136/heartjnl-2017-311950</w:t>
            </w: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2018.4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TE, Stein KV, Hahne J, Wepner F, Friedrich M, Mittendorfer-Rutz E: How are socio-demographic and psycho-social factors associated with the prevalence and chronicity of severe pain in 14 different body sites? A cross-sectional population – based survey. Wiener klinische Wochenschrift 2018;Jan;130(1-2):14-22. DOI: 10.1007/s00508017-1223-x. ISSN: 0043-5325 Epub 2017 Jun 20</w:t>
            </w: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2018.4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B95A3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Mittendorfer-Rutz E, Ivert T. Vaez M, Dorner TE: Synergistic effect between ischaemic heart disease and common mental disorders and the risk of premature exit from the labour market: a nationwide register based study from Sweden. European Heart Journal 2018 Feb 14;39(7):578-585. DOI:10.1093/eurheartj/ehx183</w:t>
            </w:r>
          </w:p>
        </w:tc>
      </w:tr>
      <w:tr w:rsidR="00B95A33" w:rsidTr="00B95A3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2018.4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Pr="0053093E" w:rsidRDefault="008B0D2F" w:rsidP="008B0D2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Kutalek R: Medizinanthropologie in der medizinischen Aus- und Weiterbildung. Curare- Zeitschrift für Medizinethnologie 2018; 41(3+4):123-30 </w:t>
            </w:r>
          </w:p>
        </w:tc>
      </w:tr>
      <w:tr w:rsidR="00B95A33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B95A33" w:rsidRDefault="00B95A3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2018.4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B95A33" w:rsidRDefault="009D71ED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Dorner TE: Health Literacy – Bestandteil der Präzisionsmedizin bei chronischen Schmerzen. Universum InnereMedizin 2018;(97):100-102</w:t>
            </w:r>
          </w:p>
        </w:tc>
      </w:tr>
      <w:tr w:rsidR="00726FA2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726FA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2018.4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Kunze U and the ISW-TBE: Report of the 19th Annual Meeting of the International Scientific Working Group on Tick-Borne Encephalitis (ISW-TBE) – TBE in a changing world. Ticks and Tick-borne Diseases, 2018; Volume 9, Issue 2, February:146-150. https://doi.org/10.1016/j.ttbdis.2017.08.009  </w:t>
            </w:r>
          </w:p>
          <w:p w:rsidR="00726FA2" w:rsidRPr="0053093E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726FA2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4846D8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2018.46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Pr="0053093E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Wanka A, Wiesböck L, Allex B, Mayrhuber EAS, Arnberger A, Eder R, Kutalek R, </w:t>
            </w:r>
          </w:p>
          <w:p w:rsidR="00726FA2" w:rsidRPr="0053093E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Wallner P, Hutter HP, Kolland F: Everyday discrimination in the neighbourhood: what a ´doing´perspective on age and ethnicity can offer. Ageing &amp; Society, Page 1 of 26. Cambridge University Press 2018. DOI: 10.1017/S0144686X18000466</w:t>
            </w:r>
          </w:p>
        </w:tc>
      </w:tr>
      <w:tr w:rsidR="00726FA2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726FA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47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Default="008C74A3" w:rsidP="008C74A3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Rahman S, Mittendorfer-Rutz E, Dorner TE, Pazarlis K, Ropponen A, Svedberg P, Wang M, Helgesson M: Type of teatment for low back pain, social insurance regulation changes and later work disability. Eur J Publ Health, 2018;28(Suppl 4):131-2. DOI: 10.1093/eurpub/cky213.385</w:t>
            </w:r>
          </w:p>
        </w:tc>
      </w:tr>
      <w:tr w:rsidR="00726FA2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726FA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48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Pr="0053093E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Dorner TE, Rieder A: Sozialmedizinische Aspekte der Rheumatologie. Ärzte Krone 2018(13-14):10-12 </w:t>
            </w:r>
          </w:p>
        </w:tc>
      </w:tr>
      <w:tr w:rsidR="00726FA2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726FA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49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Berner C, Haider S, Grabovac I, Lamprecht T, Fenzl KH, Erlacher L, Quittan M, Dorner TE: Work Ability and Employment in Rheumatoid Athritis: A Cross-Sectional Study on the Role of Muscle Strength and Lower Extremity Function. Hindawi International Journal of Rheumatology Volume 2018, Article ID 3756207,11 pages, Published 1 August 2018. http://doi.org/10.1155/2018/3756207</w:t>
            </w:r>
          </w:p>
        </w:tc>
      </w:tr>
      <w:tr w:rsidR="00726FA2" w:rsidTr="00726FA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726FA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2018.5</w:t>
            </w:r>
            <w:r w:rsidR="004846D8">
              <w:rPr>
                <w:rFonts w:ascii="Tw Cen MT" w:eastAsia="Tw Cen MT" w:hAnsi="Tw Cen MT" w:cs="Tw Cen MT"/>
                <w:sz w:val="24"/>
              </w:rPr>
              <w:t>0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Pr="0053093E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Dorner TE; Helgesson M, Nilsson K, Pazarlis KA, Ropponen A, Svedberg P, </w:t>
            </w:r>
          </w:p>
          <w:p w:rsidR="00726FA2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Mittendorfer-Rutz E: Course and characteristics of work disability 3 years before and after lumbar spine decompression surgery- a national population – based study. Scientific Reports 2018</w:t>
            </w:r>
            <w:r w:rsidR="00D76936">
              <w:rPr>
                <w:rFonts w:ascii="Arial" w:eastAsia="Arial" w:hAnsi="Arial" w:cs="Arial"/>
                <w:sz w:val="20"/>
              </w:rPr>
              <w:t xml:space="preserve"> Aug 7;8(1)</w:t>
            </w:r>
            <w:r>
              <w:rPr>
                <w:rFonts w:ascii="Arial" w:eastAsia="Arial" w:hAnsi="Arial" w:cs="Arial"/>
                <w:sz w:val="20"/>
              </w:rPr>
              <w:t>:11811. DOI: 10.1038/s41598-018-30211-4</w:t>
            </w:r>
          </w:p>
        </w:tc>
      </w:tr>
      <w:tr w:rsidR="00726FA2" w:rsidTr="00931D14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26FA2" w:rsidRDefault="00726FA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2018.5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26FA2" w:rsidRDefault="00726FA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Böhm G, Schoberberger R: Stationäre Rauchertherapie in Österreich. JATROS Pneumologie &amp; HNO 3/2018:32-34</w:t>
            </w:r>
          </w:p>
        </w:tc>
      </w:tr>
      <w:tr w:rsidR="00931D14" w:rsidTr="0070179D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931D14" w:rsidRDefault="00931D14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2018.5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931D14" w:rsidRPr="0053093E" w:rsidRDefault="00931D14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 xml:space="preserve">Dorner TE: Schmerzen korrelieren mit Gesundheitskompetenz. Ärzte Krone, Themenheft </w:t>
            </w:r>
            <w:r w:rsidR="005B4FEB" w:rsidRPr="0053093E">
              <w:rPr>
                <w:rFonts w:ascii="Arial" w:eastAsia="Arial" w:hAnsi="Arial" w:cs="Arial"/>
                <w:sz w:val="20"/>
              </w:rPr>
              <w:t>2018;(10):</w:t>
            </w:r>
            <w:r w:rsidRPr="0053093E">
              <w:rPr>
                <w:rFonts w:ascii="Arial" w:eastAsia="Arial" w:hAnsi="Arial" w:cs="Arial"/>
                <w:sz w:val="20"/>
              </w:rPr>
              <w:t>10-3</w:t>
            </w:r>
            <w:r w:rsidR="005B4FEB" w:rsidRPr="0053093E">
              <w:rPr>
                <w:rFonts w:ascii="Arial" w:eastAsia="Arial" w:hAnsi="Arial" w:cs="Arial"/>
                <w:sz w:val="20"/>
              </w:rPr>
              <w:t>. ISSN: 2223-5663</w:t>
            </w:r>
          </w:p>
        </w:tc>
      </w:tr>
      <w:tr w:rsidR="0070179D" w:rsidTr="00462E94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0179D" w:rsidRDefault="0070179D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2018.5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0179D" w:rsidRPr="0053093E" w:rsidRDefault="0070179D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 xml:space="preserve">Grabovac I, Hochfellner L, Rieger M, Jewell J, Snell A, Weber A, Stüger HP, Schindler KE, Mikkelsen B, Dorner TE: Impact of Austria´s 2009 trans fatty acids regulation of all-cause, cardiovascular and coronary heart disease mortality. European Journal of Public Health, </w:t>
            </w:r>
            <w:r w:rsidR="00BF2110" w:rsidRPr="0053093E">
              <w:rPr>
                <w:rFonts w:ascii="Arial" w:eastAsia="Arial" w:hAnsi="Arial" w:cs="Arial"/>
                <w:sz w:val="20"/>
              </w:rPr>
              <w:t>2018 Oct 1</w:t>
            </w:r>
            <w:proofErr w:type="gramStart"/>
            <w:r w:rsidR="00BF2110" w:rsidRPr="0053093E">
              <w:rPr>
                <w:rFonts w:ascii="Arial" w:eastAsia="Arial" w:hAnsi="Arial" w:cs="Arial"/>
                <w:sz w:val="20"/>
              </w:rPr>
              <w:t>;</w:t>
            </w:r>
            <w:r w:rsidRPr="0053093E">
              <w:rPr>
                <w:rFonts w:ascii="Arial" w:eastAsia="Arial" w:hAnsi="Arial" w:cs="Arial"/>
                <w:sz w:val="20"/>
              </w:rPr>
              <w:t>28</w:t>
            </w:r>
            <w:proofErr w:type="gramEnd"/>
            <w:r w:rsidR="00BF2110" w:rsidRPr="0053093E">
              <w:rPr>
                <w:rFonts w:ascii="Arial" w:eastAsia="Arial" w:hAnsi="Arial" w:cs="Arial"/>
                <w:sz w:val="20"/>
              </w:rPr>
              <w:t xml:space="preserve"> (suppl_2):4-9. DOI: 10.1093/eurpub/cky147</w:t>
            </w:r>
          </w:p>
        </w:tc>
      </w:tr>
      <w:tr w:rsidR="00462E94" w:rsidTr="00580A0C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2E94" w:rsidRDefault="00462E94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2018.5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462E94" w:rsidRPr="0053093E" w:rsidRDefault="008C74A3" w:rsidP="008C74A3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Diem G, Dorner T,  Brettenhofer M, Jacq I, Dratva J, Gerhardus A, von Mittelstaedt G: Editorial. PH³ - eine spannende chemische Verbindung. Abstractband zur ÖGPH Wintertagung „High noon für die Primärversorgung – Versorgungsmodelle für die Zukunft. JAN 19-29 2018; Lochau, AUSTRIA. Seite 1</w:t>
            </w:r>
          </w:p>
        </w:tc>
      </w:tr>
      <w:tr w:rsidR="00580A0C" w:rsidTr="00CB19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580A0C" w:rsidRDefault="00580A0C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2018.5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580A0C" w:rsidRPr="0053093E" w:rsidRDefault="00580A0C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Arendt F, Scherr S, Niederkrotenthaler T, Till B: The role of language in suicide reporting: Investigating the influence of Check fo</w:t>
            </w:r>
            <w:r w:rsidR="00361B42" w:rsidRPr="0053093E">
              <w:rPr>
                <w:rFonts w:ascii="Arial" w:eastAsia="Arial" w:hAnsi="Arial" w:cs="Arial"/>
                <w:sz w:val="20"/>
              </w:rPr>
              <w:t>r problematic suicide referents. Social Science and Medicine 2018;208:165-171. DOI: 10.1016/j.socscimed.2018.02.008</w:t>
            </w:r>
          </w:p>
        </w:tc>
      </w:tr>
      <w:tr w:rsidR="00CB19A7" w:rsidTr="00255724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CB19A7" w:rsidRDefault="00CB19A7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56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CB19A7" w:rsidRPr="0053093E" w:rsidRDefault="00CB19A7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Kutalek R, Jirovsky E, Grabovac I: From macro- to microfactors in health: Social science approaches in research on sexually transmitted infections. PLoS Medicine 2018;15(1):e1002490. DOI: 10.1371/journalpmed.1002490</w:t>
            </w:r>
          </w:p>
        </w:tc>
      </w:tr>
      <w:tr w:rsidR="00255724" w:rsidTr="00DB7604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255724" w:rsidRDefault="00255724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57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255724" w:rsidRPr="0053093E" w:rsidRDefault="00255724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 xml:space="preserve">Luger M, Kruschitz R, Winzer E, Schindler K, Grabovac I, Kainberger F, Krebs M, Hoppichler F, Langer F, Prager G, Marculescu R, Ludvik B: Changes in Bone Mineral Density Following Weight Loss Induced by One-Anastomosis Gastric Bypass in Patients with Vitamin D Supplementation. Obesity Surgery 2018:28(11):3454-65. DOI: 10.1007/s11695-018-3353-2 </w:t>
            </w:r>
          </w:p>
        </w:tc>
      </w:tr>
      <w:tr w:rsidR="00DB7604" w:rsidTr="002976E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DB7604" w:rsidRDefault="00DB7604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58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DB7604" w:rsidRPr="0053093E" w:rsidRDefault="00DB7604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Titze S, Schebesch-Ruf W, Gr</w:t>
            </w:r>
            <w:r w:rsidR="00283413" w:rsidRPr="0053093E">
              <w:rPr>
                <w:rFonts w:ascii="Arial" w:eastAsia="Arial" w:hAnsi="Arial" w:cs="Arial"/>
                <w:sz w:val="20"/>
              </w:rPr>
              <w:t>o</w:t>
            </w:r>
            <w:r w:rsidRPr="0053093E">
              <w:rPr>
                <w:rFonts w:ascii="Arial" w:eastAsia="Arial" w:hAnsi="Arial" w:cs="Arial"/>
                <w:sz w:val="20"/>
              </w:rPr>
              <w:t>s</w:t>
            </w:r>
            <w:r w:rsidR="00283413" w:rsidRPr="0053093E">
              <w:rPr>
                <w:rFonts w:ascii="Arial" w:eastAsia="Arial" w:hAnsi="Arial" w:cs="Arial"/>
                <w:sz w:val="20"/>
              </w:rPr>
              <w:t>s</w:t>
            </w:r>
            <w:r w:rsidRPr="0053093E">
              <w:rPr>
                <w:rFonts w:ascii="Arial" w:eastAsia="Arial" w:hAnsi="Arial" w:cs="Arial"/>
                <w:sz w:val="20"/>
              </w:rPr>
              <w:t xml:space="preserve">schaedl L, Strehn A, Dorer TE, Niebauer J, Lackinger C: Counselling in a health care setting combined with the standardized sports club exercise programme JACKPOT positively affects the physical activity behaviour: A quasi-experimental design. Journal of Physical Activity and Health 2018;15(10):175 </w:t>
            </w:r>
          </w:p>
        </w:tc>
      </w:tr>
      <w:tr w:rsidR="002976E7" w:rsidTr="0028341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2976E7" w:rsidRDefault="002976E7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59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2976E7" w:rsidRPr="0053093E" w:rsidRDefault="002976E7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Arendt F, Scherr S, Niederkrotenthaler T, Krallmann S, Till B: Effects of Awareness Material on Suicide-Related Knowledge and the Intention to Provide Adequate Help to Suicidal Individuals. Crisis 2018:39(1)47-54. DOI: 10.1027/0227-5910/a000474</w:t>
            </w:r>
          </w:p>
        </w:tc>
      </w:tr>
      <w:tr w:rsidR="00283413" w:rsidTr="0028341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283413" w:rsidRDefault="0028341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2018.6</w:t>
            </w:r>
            <w:r w:rsidR="004846D8">
              <w:rPr>
                <w:rFonts w:ascii="Tw Cen MT" w:eastAsia="Tw Cen MT" w:hAnsi="Tw Cen MT" w:cs="Tw Cen MT"/>
                <w:sz w:val="24"/>
              </w:rPr>
              <w:t>0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283413" w:rsidRPr="0053093E" w:rsidRDefault="0028341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Armstrong G, Vijayakumar L, Niederkrotenthaler T, Jayaseelan M, Kannan R, Pirkis J, Jorm A: Assessing the quality of media reporting of suicide news in India against World Health Organization guidelines: A content analysis study of nine major newspapers in Tamil Nadu. Australian and New Zealand Journal of Psychiatry 2018:52(9):856-63. DOI: 10.1177/0004867418772343</w:t>
            </w:r>
          </w:p>
        </w:tc>
      </w:tr>
      <w:tr w:rsidR="00283413" w:rsidTr="00C259A9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283413" w:rsidRDefault="0028341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2018.6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283413" w:rsidRPr="0053093E" w:rsidRDefault="0028341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 xml:space="preserve">Titze S, Lackinger C, Grossschaedl L, Strehn A,  Dorner TE, Niebauer J, Schebesch-Ruf W: How Does Counselling in a Stationary Health Care Setting Affect the Attendance in a Standardised </w:t>
            </w:r>
            <w:r w:rsidR="00225404" w:rsidRPr="0053093E">
              <w:rPr>
                <w:rFonts w:ascii="Arial" w:eastAsia="Arial" w:hAnsi="Arial" w:cs="Arial"/>
                <w:sz w:val="20"/>
              </w:rPr>
              <w:t>Sports Club Programme? Process Evaluation of a Quasi-Experimental Study. International Journal of Environmental Research and Public Health 2018</w:t>
            </w:r>
            <w:r w:rsidR="00E66773" w:rsidRPr="0053093E">
              <w:rPr>
                <w:rFonts w:ascii="Arial" w:eastAsia="Arial" w:hAnsi="Arial" w:cs="Arial"/>
                <w:sz w:val="20"/>
              </w:rPr>
              <w:t xml:space="preserve"> Jan 14</w:t>
            </w:r>
            <w:proofErr w:type="gramStart"/>
            <w:r w:rsidR="00E66773" w:rsidRPr="0053093E">
              <w:rPr>
                <w:rFonts w:ascii="Arial" w:eastAsia="Arial" w:hAnsi="Arial" w:cs="Arial"/>
                <w:sz w:val="20"/>
              </w:rPr>
              <w:t>;15</w:t>
            </w:r>
            <w:proofErr w:type="gramEnd"/>
            <w:r w:rsidR="00E66773" w:rsidRPr="0053093E">
              <w:rPr>
                <w:rFonts w:ascii="Arial" w:eastAsia="Arial" w:hAnsi="Arial" w:cs="Arial"/>
                <w:sz w:val="20"/>
              </w:rPr>
              <w:t xml:space="preserve">(1). pii: E134. </w:t>
            </w:r>
            <w:r w:rsidR="00225404" w:rsidRPr="0053093E">
              <w:rPr>
                <w:rFonts w:ascii="Arial" w:eastAsia="Arial" w:hAnsi="Arial" w:cs="Arial"/>
                <w:sz w:val="20"/>
              </w:rPr>
              <w:t xml:space="preserve"> DOI: 10.3390/ijerph15010134</w:t>
            </w:r>
          </w:p>
        </w:tc>
      </w:tr>
      <w:tr w:rsidR="00C259A9" w:rsidTr="0088792D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C259A9" w:rsidRDefault="00C259A9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2018.6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C259A9" w:rsidRPr="0053093E" w:rsidRDefault="00C259A9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Jordakieva G, Grabovac I, Schmidt KE, Graff A, Schuster A, Hoffmann-Sommergruber K, Oberhuber C, Scheiner O, Goll A, Godnic-Cvar J: Occupational exposure to ultrafine particles in police officers: no evidence for adverse respiratory effects. Journal of Occupational Medicine and Toxicology 2018;13:5. DOI: 10.1186/s12995-018-0187-8</w:t>
            </w:r>
          </w:p>
        </w:tc>
      </w:tr>
      <w:tr w:rsidR="0088792D" w:rsidTr="00F26DB0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8792D" w:rsidRDefault="0088792D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2018.6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88792D" w:rsidRPr="0053093E" w:rsidRDefault="0088792D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Helgesson M, Tinghog P, Niederkrotenthaler T, Saboonchi F, Mittendorfer-Rutz E: Labour-market marginalisation in Sweden among young immigrants with mental disorders. European Journal of Public Health 2018;28:35</w:t>
            </w:r>
          </w:p>
        </w:tc>
      </w:tr>
      <w:tr w:rsidR="00F26DB0" w:rsidTr="00397AAD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F26DB0" w:rsidRDefault="00F26DB0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2018.6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F26DB0" w:rsidRPr="0053093E" w:rsidRDefault="00F26DB0" w:rsidP="003D2B37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Silbernagl M, Slamanig R, Stegemann M, Sterzer MA, Mayer L, Fischer F: ADHD and related aspects in a standardised investigation in Austrian prisons – incarcerated patients with substance use disorders. European Neuropsychopharmacology 2018;28:</w:t>
            </w:r>
            <w:r w:rsidR="003D2B37">
              <w:rPr>
                <w:rFonts w:ascii="Arial" w:eastAsia="Arial" w:hAnsi="Arial" w:cs="Arial"/>
                <w:sz w:val="20"/>
              </w:rPr>
              <w:t>33-4</w:t>
            </w:r>
            <w:r w:rsidRPr="0053093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97AAD" w:rsidTr="005E7F9A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397AAD" w:rsidRDefault="00397AAD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2018.6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397AAD" w:rsidRPr="0053093E" w:rsidRDefault="00397AAD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Eisenwort B, Aslan H, Yesilyurt S, Till B, Klier C: Language devel</w:t>
            </w:r>
            <w:r w:rsidR="00BF0B43" w:rsidRPr="0053093E">
              <w:rPr>
                <w:rFonts w:ascii="Arial" w:eastAsia="Arial" w:hAnsi="Arial" w:cs="Arial"/>
                <w:sz w:val="20"/>
              </w:rPr>
              <w:t>o</w:t>
            </w:r>
            <w:r w:rsidRPr="0053093E">
              <w:rPr>
                <w:rFonts w:ascii="Arial" w:eastAsia="Arial" w:hAnsi="Arial" w:cs="Arial"/>
                <w:sz w:val="20"/>
              </w:rPr>
              <w:t xml:space="preserve">pment in children with migration backround and parental reading to children. Zeitschrift für Kinder- und Jugendpsychiatrie und Psychotherapie 2018;46(2):99-106. DOI: 10.1024/1422-4917/a000500 </w:t>
            </w:r>
          </w:p>
        </w:tc>
      </w:tr>
      <w:tr w:rsidR="005E7F9A" w:rsidTr="00A54C4F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5E7F9A" w:rsidRDefault="005E7F9A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66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5E7F9A" w:rsidRPr="0053093E" w:rsidRDefault="008B0D2F" w:rsidP="008B0D2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Kutalek R: Medizinanthropologie und globale Gesundheit: In: Kunze U, Wittmann K (Hrsg.): Der Mensch in Umwelt, Familie und Gesellschaft, Facultas Verlag, 2018, Wien: 292-9.</w:t>
            </w:r>
          </w:p>
        </w:tc>
      </w:tr>
      <w:tr w:rsidR="00A54C4F" w:rsidTr="00634006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A54C4F" w:rsidRDefault="00A54C4F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67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A54C4F" w:rsidRPr="0053093E" w:rsidRDefault="00A54C4F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Moazen B, Moghaddam SS, Silbernagl M, Lotfizadeh M, Bosworth R, Alammehrjerdi Z, Kinner SA, Wirtz A, Barnighausen TW, Stover HJ,</w:t>
            </w:r>
            <w:r w:rsidR="00EC7997" w:rsidRPr="0053093E">
              <w:rPr>
                <w:rFonts w:ascii="Arial" w:eastAsia="Arial" w:hAnsi="Arial" w:cs="Arial"/>
                <w:sz w:val="20"/>
              </w:rPr>
              <w:t xml:space="preserve"> </w:t>
            </w:r>
            <w:r w:rsidRPr="0053093E">
              <w:rPr>
                <w:rFonts w:ascii="Arial" w:eastAsia="Arial" w:hAnsi="Arial" w:cs="Arial"/>
                <w:sz w:val="20"/>
              </w:rPr>
              <w:t xml:space="preserve">Dolan KA: </w:t>
            </w:r>
            <w:r w:rsidR="00EC7997" w:rsidRPr="0053093E">
              <w:rPr>
                <w:rFonts w:ascii="Arial" w:eastAsia="Arial" w:hAnsi="Arial" w:cs="Arial"/>
                <w:sz w:val="20"/>
              </w:rPr>
              <w:t>Prevalence of Drug Injection, Sexual Activity, Tattooing, and Piercing Among Prison Inmates. Epidemiologic Reviews 2018;40(1):58-69. DOI: 10.1093/epirev/mxy002</w:t>
            </w:r>
          </w:p>
        </w:tc>
      </w:tr>
      <w:tr w:rsidR="00634006" w:rsidTr="00AF1696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634006" w:rsidRDefault="00634006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68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634006" w:rsidRPr="0053093E" w:rsidRDefault="00634006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Sinyor M, Schaffer A, Nishikawa Y, Redelmeier D, Niederkrotenthaler T, Sareen J, Levitt A, Kiss A, Pirk</w:t>
            </w:r>
            <w:r w:rsidR="00D847DB" w:rsidRPr="0053093E">
              <w:rPr>
                <w:rFonts w:ascii="Arial" w:eastAsia="Arial" w:hAnsi="Arial" w:cs="Arial"/>
                <w:sz w:val="20"/>
              </w:rPr>
              <w:t>i</w:t>
            </w:r>
            <w:r w:rsidRPr="0053093E">
              <w:rPr>
                <w:rFonts w:ascii="Arial" w:eastAsia="Arial" w:hAnsi="Arial" w:cs="Arial"/>
                <w:sz w:val="20"/>
              </w:rPr>
              <w:t xml:space="preserve">s J: </w:t>
            </w:r>
            <w:r w:rsidR="00D847DB" w:rsidRPr="0053093E">
              <w:rPr>
                <w:rFonts w:ascii="Arial" w:eastAsia="Arial" w:hAnsi="Arial" w:cs="Arial"/>
                <w:sz w:val="20"/>
              </w:rPr>
              <w:t xml:space="preserve">The association between suicide deaths and putatively harmful and protective factors in media reports. CMAJ-Canadian Medical Association Journal 2018;190(30):900-7. DOI: 10.1503/cmaj.170698 </w:t>
            </w:r>
          </w:p>
        </w:tc>
      </w:tr>
      <w:tr w:rsidR="00AF1696" w:rsidTr="001D52EF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AF1696" w:rsidRDefault="00AF1696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69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AF1696" w:rsidRPr="0053093E" w:rsidRDefault="00AF1696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Silbernagl M, Slamanig R, Fischer G, Brandt L: Hepatitis C infection and psychiatric burden in two imprisoned cohorts: Young offenders and opioid-maintained prisoners. Health Policy 2018;122:1392-1402</w:t>
            </w:r>
          </w:p>
        </w:tc>
      </w:tr>
      <w:tr w:rsidR="001D52EF" w:rsidTr="00F25DF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1D52EF" w:rsidRDefault="001D52EF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2018.7</w:t>
            </w:r>
            <w:r w:rsidR="004846D8">
              <w:rPr>
                <w:rFonts w:ascii="Tw Cen MT" w:eastAsia="Tw Cen MT" w:hAnsi="Tw Cen MT" w:cs="Tw Cen MT"/>
                <w:sz w:val="24"/>
              </w:rPr>
              <w:t>0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1D52EF" w:rsidRPr="0053093E" w:rsidRDefault="00E5118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Grabovac I, Haider S, Berner C, Lamprecht T, Fenzl KH, Erlacher L, Quittan M, Dorner TE: Sleep Quality in Patients with Rheumatoid Arthritis and Associations with Pain, Disability, Disease Duration, and Activity. Journal of Clinical Medicine 2018;7</w:t>
            </w:r>
            <w:r w:rsidR="005B326B" w:rsidRPr="0053093E">
              <w:rPr>
                <w:rFonts w:ascii="Arial" w:eastAsia="Arial" w:hAnsi="Arial" w:cs="Arial"/>
                <w:sz w:val="20"/>
              </w:rPr>
              <w:t>(10)</w:t>
            </w:r>
            <w:r w:rsidRPr="0053093E">
              <w:rPr>
                <w:rFonts w:ascii="Arial" w:eastAsia="Arial" w:hAnsi="Arial" w:cs="Arial"/>
                <w:sz w:val="20"/>
              </w:rPr>
              <w:t>:336. DOI:10.3390/jcm7100336</w:t>
            </w:r>
          </w:p>
        </w:tc>
      </w:tr>
      <w:tr w:rsidR="00F25DF7" w:rsidTr="002E746B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F25DF7" w:rsidRDefault="00F25DF7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2018.7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F25DF7" w:rsidRPr="0053093E" w:rsidRDefault="00F25DF7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Berner C, Erlacher L, Fenzl KH, Dorner TE: A cross-sectional study on self-reported physical and mental health-related quality of life in rheumatoid arthritis and the role of illness perception. Health and Quality of Life Outcomes 2018;16:238. https://doi.org/10.1186/s12955-018-1064-y</w:t>
            </w:r>
          </w:p>
        </w:tc>
      </w:tr>
      <w:tr w:rsidR="002E746B" w:rsidTr="005A367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2E746B" w:rsidRDefault="002E746B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2018.7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2E746B" w:rsidRPr="0053093E" w:rsidRDefault="002E746B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Arendasy M, Sommer M, Feldhammer-Kahr M, Freudenthaler H. H, Punter F. J., Rieder, A:  Fairness als zentrale Herausforderung moderner Aufnahmeverfahren.</w:t>
            </w:r>
          </w:p>
          <w:p w:rsidR="002E746B" w:rsidRPr="0053093E" w:rsidRDefault="002E746B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Zeitschrift für Hochschulentwicklung, 2018;13(</w:t>
            </w:r>
            <w:r w:rsidR="00A2646D">
              <w:rPr>
                <w:rFonts w:ascii="Arial" w:eastAsia="Arial" w:hAnsi="Arial" w:cs="Arial"/>
                <w:sz w:val="20"/>
              </w:rPr>
              <w:t>4</w:t>
            </w:r>
            <w:r w:rsidRPr="0053093E">
              <w:rPr>
                <w:rFonts w:ascii="Arial" w:eastAsia="Arial" w:hAnsi="Arial" w:cs="Arial"/>
                <w:sz w:val="20"/>
              </w:rPr>
              <w:t xml:space="preserve">):37–55. </w:t>
            </w:r>
            <w:hyperlink r:id="rId5" w:history="1">
              <w:r w:rsidRPr="0053093E">
                <w:rPr>
                  <w:rFonts w:ascii="Arial" w:eastAsia="Arial" w:hAnsi="Arial" w:cs="Arial"/>
                  <w:sz w:val="20"/>
                </w:rPr>
                <w:t>https://doi.org/10.3217/zfhe-13-</w:t>
              </w:r>
            </w:hyperlink>
            <w:r w:rsidRPr="0053093E">
              <w:rPr>
                <w:rFonts w:ascii="Arial" w:eastAsia="Arial" w:hAnsi="Arial" w:cs="Arial"/>
                <w:sz w:val="20"/>
              </w:rPr>
              <w:t>04/03</w:t>
            </w:r>
          </w:p>
          <w:p w:rsidR="002E746B" w:rsidRPr="0053093E" w:rsidRDefault="002E746B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5A3672" w:rsidTr="005A3672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5A3672" w:rsidRDefault="005A367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2018.7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5A3672" w:rsidRPr="0053093E" w:rsidRDefault="005A367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Hofmarcher MM, Mayer S, Peric N, Dorner TE: Primary Healthcare Centers: A Silver Bullet? In: Braithwaite, J; Mannion, R; Matsuyama, Y; Shekelle, PG; Whittaker, S; Al-Adawi, S (Hrsg.). Healthcare Systems. Future Predictions for Global Care. CRC Press, Taylor &amp; Francis Group, Boca Raton: 2018. Seiten 131-137. ISBN: 978-1-138-05260-4; E-Book: 978-1-315-16768-8</w:t>
            </w:r>
          </w:p>
        </w:tc>
      </w:tr>
      <w:tr w:rsidR="005A3672" w:rsidTr="003E325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5A3672" w:rsidRDefault="005A3672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2018.7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5A3672" w:rsidRPr="0053093E" w:rsidRDefault="005A3672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Dorner TE, Lackinger, C (Hrsg.): Health in all Societies. Abstractband zur 21. Wissenschaftlichen Tagung der Österreichischen Gesellschaft für Public Health; MAY 23-24 2018; 178 Seiten. ISBN: 978-3-200-05094-5</w:t>
            </w:r>
          </w:p>
        </w:tc>
      </w:tr>
      <w:tr w:rsidR="003E3253" w:rsidTr="00716F7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3E3253" w:rsidRDefault="003E325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2018.7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3E3253" w:rsidRPr="0053093E" w:rsidRDefault="00AF22C7" w:rsidP="00AF22C7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Dorner TE: Editorial ÖGPH. Health in all Societies. In: Dorner, TE; Lackinger, C (Hrsg.). Health in all Societies. Abstractband zur 21. Wissenschaftlichen Tagung der Österreichischen Gesellschaft für Public Health; MAY 23-24 2018; Vienna, AUSTRIA, Seite10-11. ISBN: 978-3-200-05094-5</w:t>
            </w:r>
          </w:p>
        </w:tc>
      </w:tr>
      <w:tr w:rsidR="00716F73" w:rsidTr="003249B6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716F73" w:rsidRDefault="00716F7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76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716F73" w:rsidRPr="0053093E" w:rsidRDefault="00AF22C7" w:rsidP="00AF22C7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Dorner TE: Editorial. Training gehört zu den effektivsten Tools zur Förderung der Gesundheit. Sozialversicherung der gewerblichen Wirtschaft (Hrsg.). Standardisierte Bewegungsprogramme in HEPA Projekten. Kursmanual. Wien, 2018. ISBN: 978-3-200-05905-4</w:t>
            </w:r>
          </w:p>
        </w:tc>
      </w:tr>
      <w:tr w:rsidR="003249B6" w:rsidTr="005B598F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3249B6" w:rsidRDefault="003249B6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77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3249B6" w:rsidRPr="0053093E" w:rsidRDefault="003249B6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Grabovac I, Haider S, Winzer  E; Kapan A, Schindler KE, Lackinger C, Dorner TE: Changes in health parameters in older lay volunteers who delivered a lifestyle-based program to frail older people at home. Wien Klin Wochenschr. 2018 Nov;130(21-22):637-644 DOI: 10.1007/s00508-018-1372-6.</w:t>
            </w:r>
          </w:p>
          <w:p w:rsidR="003249B6" w:rsidRPr="0053093E" w:rsidRDefault="003249B6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5B598F" w:rsidTr="008E1073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5B598F" w:rsidRDefault="005B598F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78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12454F" w:rsidRPr="0053093E" w:rsidRDefault="0012454F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Grabovac I, Meilinger M, Schalk H, Leichsenring</w:t>
            </w:r>
            <w:proofErr w:type="gramStart"/>
            <w:r w:rsidRPr="0053093E">
              <w:rPr>
                <w:rFonts w:ascii="Arial" w:eastAsia="Arial" w:hAnsi="Arial" w:cs="Arial"/>
                <w:sz w:val="20"/>
              </w:rPr>
              <w:t>,B</w:t>
            </w:r>
            <w:proofErr w:type="gramEnd"/>
            <w:r w:rsidRPr="0053093E">
              <w:rPr>
                <w:rFonts w:ascii="Arial" w:eastAsia="Arial" w:hAnsi="Arial" w:cs="Arial"/>
                <w:sz w:val="20"/>
              </w:rPr>
              <w:t>, Dorner TE: Prävalenz und Determinanten von illegalem Drogenkonsum und Mehrfachdrogenkonsum bei Menschen mit HIV in Österreich. In: Dorner, TE; Lackinger, C (Hrsg.). Health in all Societies. Abstractband zur 21. Wissenschaftlichen Tagung der Österreichischen Gesellschaft für Public Health; MAY 23-24 2018; Vienna, AUSTRIA, Seite 39. ISBN: 978-3-200-05094-5</w:t>
            </w:r>
          </w:p>
          <w:p w:rsidR="005B598F" w:rsidRPr="0053093E" w:rsidRDefault="005B598F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8E1073" w:rsidTr="00A33BAB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8E1073" w:rsidRDefault="008E1073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79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DB2AB3" w:rsidRPr="0053093E" w:rsidRDefault="00DB2AB3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Dorner TE, Haider S, Berner C, Grabovac I, Lamprecht T, Fenzl KH, Quittan M, Erlacher L: Sexual health in seropositive rheumatoid arthritis patients and its association with physical fitness.  Eur J Publ Health, 2018;28(Suppl 4):465-6. DOI: 10.1093/eurpub/cky218.165</w:t>
            </w:r>
          </w:p>
          <w:p w:rsidR="007D16A5" w:rsidRPr="0053093E" w:rsidRDefault="007D16A5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A33BAB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A33BAB" w:rsidRDefault="00A33BAB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lastRenderedPageBreak/>
              <w:t>2018.8</w:t>
            </w:r>
            <w:r w:rsidR="004846D8">
              <w:rPr>
                <w:rFonts w:ascii="Tw Cen MT" w:eastAsia="Tw Cen MT" w:hAnsi="Tw Cen MT" w:cs="Tw Cen MT"/>
                <w:sz w:val="24"/>
              </w:rPr>
              <w:t>0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A33BAB" w:rsidRPr="0053093E" w:rsidRDefault="00A33BAB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>Rieder A, Dorner TE: Präventive Maßnahmen – Langzeitfolgen möglichst gering halten. Sozialmedizinische Aspekte der Rheumatologie. Universum InnereMedizin 2018;(01):8-11</w:t>
            </w:r>
          </w:p>
        </w:tc>
      </w:tr>
      <w:tr w:rsidR="00A02FA7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A02FA7" w:rsidRDefault="00A02FA7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2018.8</w:t>
            </w:r>
            <w:r w:rsidR="004846D8">
              <w:rPr>
                <w:rFonts w:ascii="Tw Cen MT" w:eastAsia="Tw Cen MT" w:hAnsi="Tw Cen MT" w:cs="Tw Cen MT"/>
                <w:sz w:val="24"/>
              </w:rPr>
              <w:t>1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A02FA7" w:rsidRPr="0053093E" w:rsidRDefault="00A02FA7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  <w:r w:rsidRPr="0053093E">
              <w:rPr>
                <w:rFonts w:ascii="Arial" w:eastAsia="Arial" w:hAnsi="Arial" w:cs="Arial"/>
                <w:sz w:val="20"/>
              </w:rPr>
              <w:t xml:space="preserve">Dorner TE, Saboga Nunes L, Zeegers Paget D. E-Collection: Health promotion and the need for a multisectoral approach. Eur J Public Health 2018 </w:t>
            </w:r>
            <w:hyperlink r:id="rId6" w:history="1">
              <w:r w:rsidRPr="0053093E">
                <w:rPr>
                  <w:rFonts w:ascii="Arial" w:eastAsia="Arial" w:hAnsi="Arial" w:cs="Arial"/>
                  <w:sz w:val="20"/>
                </w:rPr>
                <w:t>https://academic.oup.com/eurpub/pages/health_promotion</w:t>
              </w:r>
            </w:hyperlink>
            <w:r w:rsidR="00A2646D">
              <w:rPr>
                <w:rFonts w:ascii="Arial" w:eastAsia="Arial" w:hAnsi="Arial" w:cs="Arial"/>
                <w:sz w:val="20"/>
              </w:rPr>
              <w:t>, E-collection</w:t>
            </w:r>
          </w:p>
          <w:p w:rsidR="00A02FA7" w:rsidRPr="0053093E" w:rsidRDefault="00A02FA7" w:rsidP="0053093E">
            <w:pPr>
              <w:spacing w:after="38"/>
              <w:rPr>
                <w:rFonts w:ascii="Arial" w:eastAsia="Arial" w:hAnsi="Arial" w:cs="Arial"/>
                <w:sz w:val="20"/>
              </w:rPr>
            </w:pPr>
          </w:p>
        </w:tc>
      </w:tr>
      <w:tr w:rsidR="00E063B4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E063B4" w:rsidRDefault="00E063B4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2018.8</w:t>
            </w:r>
            <w:r w:rsidR="004846D8">
              <w:rPr>
                <w:rFonts w:ascii="Tw Cen MT" w:eastAsia="Tw Cen MT" w:hAnsi="Tw Cen MT" w:cs="Tw Cen MT"/>
                <w:sz w:val="24"/>
              </w:rPr>
              <w:t>2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E063B4" w:rsidRPr="0053093E" w:rsidRDefault="00E063B4" w:rsidP="00E063B4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Ucsnik L, Langer F, Kottmel A, Dorner TE, Bitzer J, Teleky B, Prager G: Metabolic Surgeons self-assessing sexual health issues in disease management of morbid obese patients at the Austrian Congress of Surgeons, June 2017. Obesity Surgery 2018;28:64-5</w:t>
            </w:r>
          </w:p>
        </w:tc>
      </w:tr>
      <w:tr w:rsidR="000F64E6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F64E6" w:rsidRDefault="000F64E6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2018.8</w:t>
            </w:r>
            <w:r w:rsidR="004846D8">
              <w:rPr>
                <w:rFonts w:ascii="Tw Cen MT" w:eastAsia="Tw Cen MT" w:hAnsi="Tw Cen MT" w:cs="Tw Cen MT"/>
                <w:sz w:val="24"/>
              </w:rPr>
              <w:t>3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F64E6" w:rsidRDefault="000F64E6" w:rsidP="000F64E6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Jackson S, Smith L, Grabovac I. Haider S, Demurtas J, Lopez-Sanchez GF,  Redsell S, Isik A, Yang L: Ethnic Differences in Magnesium Intake in US Older Adults: Findings from NHANES 2015-2016. Nutrients 2018;10(12):1901</w:t>
            </w:r>
            <w:r w:rsidR="001423E7">
              <w:rPr>
                <w:rFonts w:ascii="Arial" w:eastAsia="Arial" w:hAnsi="Arial" w:cs="Arial"/>
                <w:sz w:val="20"/>
              </w:rPr>
              <w:t>. DOI: 10.3390/nu10121901</w:t>
            </w:r>
          </w:p>
        </w:tc>
      </w:tr>
      <w:tr w:rsidR="00686FED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686FED" w:rsidRDefault="00686FED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2018.8</w:t>
            </w:r>
            <w:r w:rsidR="004846D8">
              <w:rPr>
                <w:rFonts w:ascii="Tw Cen MT" w:eastAsia="Tw Cen MT" w:hAnsi="Tw Cen MT" w:cs="Tw Cen MT"/>
                <w:sz w:val="24"/>
              </w:rPr>
              <w:t>4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686FED" w:rsidRDefault="00686FED" w:rsidP="00686FED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Kien C, Schultes MT, Szelag M, Schoberberger R, Gartlehner G: German language questionnaires for assessing implementation constructs and outcomes of psychosocial and health-related interventions: a systematic review. Implementation Science 2018(13):150. DOI: 10.1186/s13012-018-0837-3</w:t>
            </w:r>
          </w:p>
        </w:tc>
      </w:tr>
      <w:tr w:rsidR="00001B25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001B25" w:rsidRDefault="00001B25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2018.8</w:t>
            </w:r>
            <w:r w:rsidR="004846D8">
              <w:rPr>
                <w:rFonts w:ascii="Tw Cen MT" w:eastAsia="Tw Cen MT" w:hAnsi="Tw Cen MT" w:cs="Tw Cen MT"/>
                <w:sz w:val="24"/>
              </w:rPr>
              <w:t>5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001B25" w:rsidRDefault="00001B25" w:rsidP="002A7DC4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Wakolbinger M, Winzer E, Schaetzer M, Moser N, Lechleitner M, Rieder A, Hoppichler F: Impact of healthier options in school vending machines o</w:t>
            </w:r>
            <w:r w:rsidR="002A7DC4"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 xml:space="preserve"> sale outcomes. WienKlinWochenschrift 2018;130:352.</w:t>
            </w:r>
          </w:p>
        </w:tc>
      </w:tr>
      <w:tr w:rsidR="0067227F" w:rsidTr="00A02FA7">
        <w:tblPrEx>
          <w:tblCellMar>
            <w:right w:w="0" w:type="dxa"/>
          </w:tblCellMar>
        </w:tblPrEx>
        <w:trPr>
          <w:trHeight w:val="1097"/>
        </w:trPr>
        <w:tc>
          <w:tcPr>
            <w:tcW w:w="124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67227F" w:rsidRDefault="0067227F" w:rsidP="004846D8">
            <w:pPr>
              <w:ind w:left="1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2018.</w:t>
            </w:r>
            <w:r w:rsidR="004846D8">
              <w:rPr>
                <w:rFonts w:ascii="Tw Cen MT" w:eastAsia="Tw Cen MT" w:hAnsi="Tw Cen MT" w:cs="Tw Cen MT"/>
                <w:sz w:val="24"/>
              </w:rPr>
              <w:t>86</w:t>
            </w:r>
          </w:p>
        </w:tc>
        <w:tc>
          <w:tcPr>
            <w:tcW w:w="8024" w:type="dxa"/>
            <w:tcBorders>
              <w:top w:val="single" w:sz="2" w:space="0" w:color="CCCCCC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CCCCCC"/>
          </w:tcPr>
          <w:p w:rsidR="0067227F" w:rsidRDefault="0067227F" w:rsidP="0067227F">
            <w:pPr>
              <w:spacing w:after="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Kien C, Grillich L, Nussbaumer-Streit B, Schoberberger R: Pathways leading to success and non-success: a process evaluation of a cluster randomized physical activity health promotion program applying fuzzy-set qualitative comparative analysis. BMC Public Health 2018;18:1386. DOI: 10.1186/s12889-018-6284-x</w:t>
            </w:r>
          </w:p>
        </w:tc>
      </w:tr>
    </w:tbl>
    <w:p w:rsidR="00726FA2" w:rsidRDefault="00726FA2">
      <w:pPr>
        <w:spacing w:after="218"/>
        <w:ind w:left="-5" w:hanging="10"/>
        <w:rPr>
          <w:b/>
        </w:rPr>
      </w:pPr>
    </w:p>
    <w:p w:rsidR="002262D6" w:rsidRDefault="002262D6" w:rsidP="00EB0D56">
      <w:pPr>
        <w:spacing w:after="38"/>
        <w:rPr>
          <w:rFonts w:ascii="Arial" w:eastAsia="Arial" w:hAnsi="Arial" w:cs="Arial"/>
          <w:sz w:val="20"/>
        </w:rPr>
      </w:pPr>
      <w:bookmarkStart w:id="0" w:name="_GoBack"/>
      <w:bookmarkEnd w:id="0"/>
    </w:p>
    <w:sectPr w:rsidR="002262D6">
      <w:pgSz w:w="11906" w:h="16838"/>
      <w:pgMar w:top="1416" w:right="3514" w:bottom="133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1B25"/>
    <w:rsid w:val="0001309C"/>
    <w:rsid w:val="000F64E6"/>
    <w:rsid w:val="0012454F"/>
    <w:rsid w:val="001423E7"/>
    <w:rsid w:val="001D52EF"/>
    <w:rsid w:val="00225404"/>
    <w:rsid w:val="002262D6"/>
    <w:rsid w:val="00253DD4"/>
    <w:rsid w:val="00255724"/>
    <w:rsid w:val="00283413"/>
    <w:rsid w:val="00284102"/>
    <w:rsid w:val="002976E7"/>
    <w:rsid w:val="002A148C"/>
    <w:rsid w:val="002A7DC4"/>
    <w:rsid w:val="002E746B"/>
    <w:rsid w:val="0030182F"/>
    <w:rsid w:val="00306165"/>
    <w:rsid w:val="003249B6"/>
    <w:rsid w:val="00361B42"/>
    <w:rsid w:val="00392AFA"/>
    <w:rsid w:val="00397AAD"/>
    <w:rsid w:val="003A7C58"/>
    <w:rsid w:val="003B455B"/>
    <w:rsid w:val="003D2B37"/>
    <w:rsid w:val="003E3253"/>
    <w:rsid w:val="003E3B10"/>
    <w:rsid w:val="00442021"/>
    <w:rsid w:val="00450E4C"/>
    <w:rsid w:val="00457C36"/>
    <w:rsid w:val="00462E94"/>
    <w:rsid w:val="00463D1E"/>
    <w:rsid w:val="00472CF4"/>
    <w:rsid w:val="00483A78"/>
    <w:rsid w:val="004846D8"/>
    <w:rsid w:val="004B1FBC"/>
    <w:rsid w:val="004B43AF"/>
    <w:rsid w:val="004F5EC8"/>
    <w:rsid w:val="0053093E"/>
    <w:rsid w:val="00540792"/>
    <w:rsid w:val="00554E46"/>
    <w:rsid w:val="00555E38"/>
    <w:rsid w:val="00580A0C"/>
    <w:rsid w:val="00595611"/>
    <w:rsid w:val="005975EC"/>
    <w:rsid w:val="005A3672"/>
    <w:rsid w:val="005A38D8"/>
    <w:rsid w:val="005A4E04"/>
    <w:rsid w:val="005B326B"/>
    <w:rsid w:val="005B4FEB"/>
    <w:rsid w:val="005B598F"/>
    <w:rsid w:val="005E7F9A"/>
    <w:rsid w:val="005F20D8"/>
    <w:rsid w:val="00617CD3"/>
    <w:rsid w:val="00634006"/>
    <w:rsid w:val="00634B6E"/>
    <w:rsid w:val="00647EED"/>
    <w:rsid w:val="00670CF3"/>
    <w:rsid w:val="0067227F"/>
    <w:rsid w:val="00675497"/>
    <w:rsid w:val="00686FED"/>
    <w:rsid w:val="00693094"/>
    <w:rsid w:val="006C139F"/>
    <w:rsid w:val="006D7D0B"/>
    <w:rsid w:val="0070179D"/>
    <w:rsid w:val="00702A67"/>
    <w:rsid w:val="00716F73"/>
    <w:rsid w:val="00726FA2"/>
    <w:rsid w:val="00793643"/>
    <w:rsid w:val="007976C4"/>
    <w:rsid w:val="007C098F"/>
    <w:rsid w:val="007D16A5"/>
    <w:rsid w:val="00856F7F"/>
    <w:rsid w:val="00884487"/>
    <w:rsid w:val="0088792D"/>
    <w:rsid w:val="008B0D2F"/>
    <w:rsid w:val="008C74A3"/>
    <w:rsid w:val="008E1073"/>
    <w:rsid w:val="008F3053"/>
    <w:rsid w:val="009115BC"/>
    <w:rsid w:val="00931D14"/>
    <w:rsid w:val="009620EC"/>
    <w:rsid w:val="009937D1"/>
    <w:rsid w:val="009A05A5"/>
    <w:rsid w:val="009C3119"/>
    <w:rsid w:val="009D71ED"/>
    <w:rsid w:val="00A02FA7"/>
    <w:rsid w:val="00A2646D"/>
    <w:rsid w:val="00A33BAB"/>
    <w:rsid w:val="00A37992"/>
    <w:rsid w:val="00A54C4F"/>
    <w:rsid w:val="00A62F88"/>
    <w:rsid w:val="00AF073C"/>
    <w:rsid w:val="00AF1696"/>
    <w:rsid w:val="00AF22C7"/>
    <w:rsid w:val="00B04F21"/>
    <w:rsid w:val="00B665C1"/>
    <w:rsid w:val="00B91186"/>
    <w:rsid w:val="00B95A33"/>
    <w:rsid w:val="00BB7640"/>
    <w:rsid w:val="00BB79D8"/>
    <w:rsid w:val="00BF0B43"/>
    <w:rsid w:val="00BF2110"/>
    <w:rsid w:val="00C218E6"/>
    <w:rsid w:val="00C259A9"/>
    <w:rsid w:val="00C370B4"/>
    <w:rsid w:val="00C379AA"/>
    <w:rsid w:val="00C922F3"/>
    <w:rsid w:val="00CB19A7"/>
    <w:rsid w:val="00CB1BB0"/>
    <w:rsid w:val="00CC54B5"/>
    <w:rsid w:val="00CC5E98"/>
    <w:rsid w:val="00D204A4"/>
    <w:rsid w:val="00D258EF"/>
    <w:rsid w:val="00D76936"/>
    <w:rsid w:val="00D847DB"/>
    <w:rsid w:val="00D977A4"/>
    <w:rsid w:val="00DB2AB3"/>
    <w:rsid w:val="00DB7604"/>
    <w:rsid w:val="00E063B4"/>
    <w:rsid w:val="00E20BA5"/>
    <w:rsid w:val="00E51182"/>
    <w:rsid w:val="00E51BB7"/>
    <w:rsid w:val="00E66773"/>
    <w:rsid w:val="00E913A2"/>
    <w:rsid w:val="00EB0D56"/>
    <w:rsid w:val="00EC7997"/>
    <w:rsid w:val="00ED70FD"/>
    <w:rsid w:val="00EE70A3"/>
    <w:rsid w:val="00F01639"/>
    <w:rsid w:val="00F25DF7"/>
    <w:rsid w:val="00F26DB0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C4436-FA40-45DA-BD67-679CFC7F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E7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eurpub/pages/health_promotion" TargetMode="External"/><Relationship Id="rId5" Type="http://schemas.openxmlformats.org/officeDocument/2006/relationships/hyperlink" Target="https://doi.org/10.3217/zfhe-13-" TargetMode="External"/><Relationship Id="rId4" Type="http://schemas.openxmlformats.org/officeDocument/2006/relationships/hyperlink" Target="https://doi.org/10.1017/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3198</Words>
  <Characters>20149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Ebermann</dc:creator>
  <cp:keywords/>
  <cp:lastModifiedBy>andrea</cp:lastModifiedBy>
  <cp:revision>139</cp:revision>
  <dcterms:created xsi:type="dcterms:W3CDTF">2018-09-26T10:24:00Z</dcterms:created>
  <dcterms:modified xsi:type="dcterms:W3CDTF">2022-07-11T12:02:00Z</dcterms:modified>
</cp:coreProperties>
</file>